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r w:rsidRPr="001106EA">
        <w:rPr>
          <w:rFonts w:ascii="Tahoma" w:hAnsi="Tahoma" w:cs="Tahoma"/>
          <w:b/>
          <w:sz w:val="24"/>
          <w:szCs w:val="24"/>
        </w:rPr>
        <w:t xml:space="preserve">VOTO </w:t>
      </w:r>
      <w:r w:rsidR="006E25D2">
        <w:rPr>
          <w:rFonts w:ascii="Tahoma" w:hAnsi="Tahoma" w:cs="Tahoma"/>
          <w:b/>
          <w:sz w:val="24"/>
          <w:szCs w:val="24"/>
        </w:rPr>
        <w:t xml:space="preserve">DISIDENTE </w:t>
      </w:r>
      <w:r w:rsidRPr="001106EA">
        <w:rPr>
          <w:rFonts w:ascii="Tahoma" w:hAnsi="Tahoma" w:cs="Tahoma"/>
          <w:b/>
          <w:sz w:val="24"/>
          <w:szCs w:val="24"/>
        </w:rPr>
        <w:t xml:space="preserve">QUE FORMULA EL COMISIONADO LUIS GUSTAVO PARRA NORIEGA, EN RELACIÓN CON LA RESOLUCIÓN DEL RECURSO DE REVISIÓN </w:t>
      </w:r>
      <w:r w:rsidR="00DA489A">
        <w:rPr>
          <w:rFonts w:ascii="Tahoma" w:hAnsi="Tahoma" w:cs="Tahoma"/>
          <w:b/>
          <w:bCs/>
          <w:sz w:val="24"/>
          <w:szCs w:val="24"/>
        </w:rPr>
        <w:t>029</w:t>
      </w:r>
      <w:r w:rsidR="006E25D2">
        <w:rPr>
          <w:rFonts w:ascii="Tahoma" w:hAnsi="Tahoma" w:cs="Tahoma"/>
          <w:b/>
          <w:bCs/>
          <w:sz w:val="24"/>
          <w:szCs w:val="24"/>
        </w:rPr>
        <w:t>55</w:t>
      </w:r>
      <w:r w:rsidRPr="001106EA">
        <w:rPr>
          <w:rFonts w:ascii="Tahoma" w:hAnsi="Tahoma" w:cs="Tahoma"/>
          <w:b/>
          <w:bCs/>
          <w:sz w:val="24"/>
          <w:szCs w:val="24"/>
        </w:rPr>
        <w:t xml:space="preserve">/INFOEM/IP/RR/2018 </w:t>
      </w:r>
      <w:r w:rsidRPr="001106EA">
        <w:rPr>
          <w:rFonts w:ascii="Tahoma" w:hAnsi="Tahoma" w:cs="Tahoma"/>
          <w:b/>
          <w:sz w:val="24"/>
          <w:szCs w:val="24"/>
        </w:rPr>
        <w:t xml:space="preserve">PROMOVIDO EN CONTRA </w:t>
      </w:r>
      <w:r w:rsidR="006E25D2" w:rsidRPr="006E25D2">
        <w:rPr>
          <w:rFonts w:ascii="Tahoma" w:hAnsi="Tahoma" w:cs="Tahoma"/>
          <w:b/>
          <w:sz w:val="24"/>
          <w:szCs w:val="24"/>
          <w:lang w:val="es-MX"/>
        </w:rPr>
        <w:t>DEL SECRETARIADO EJECUTIVO DEL SISTEMA ESTATAL DE SEGURIDAD PÚBLICA</w:t>
      </w:r>
      <w:r w:rsidR="006E25D2" w:rsidRPr="001106EA">
        <w:rPr>
          <w:rFonts w:ascii="Tahoma" w:hAnsi="Tahoma" w:cs="Tahoma"/>
          <w:b/>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6E25D2">
        <w:rPr>
          <w:rFonts w:ascii="Tahoma" w:hAnsi="Tahoma" w:cs="Tahoma"/>
          <w:b/>
          <w:sz w:val="24"/>
          <w:szCs w:val="24"/>
        </w:rPr>
        <w:t xml:space="preserve">Disidente </w:t>
      </w:r>
      <w:r w:rsidRPr="001106EA">
        <w:rPr>
          <w:rFonts w:ascii="Tahoma" w:hAnsi="Tahoma" w:cs="Tahoma"/>
          <w:sz w:val="24"/>
          <w:szCs w:val="24"/>
        </w:rPr>
        <w:t xml:space="preserve">por no </w:t>
      </w:r>
      <w:r w:rsidR="006E25D2">
        <w:rPr>
          <w:rFonts w:ascii="Tahoma" w:hAnsi="Tahoma" w:cs="Tahoma"/>
          <w:sz w:val="24"/>
          <w:szCs w:val="24"/>
        </w:rPr>
        <w:t xml:space="preserve">estar de </w:t>
      </w:r>
      <w:r w:rsidR="007D3A17">
        <w:rPr>
          <w:rFonts w:ascii="Tahoma" w:hAnsi="Tahoma" w:cs="Tahoma"/>
          <w:sz w:val="24"/>
          <w:szCs w:val="24"/>
        </w:rPr>
        <w:t>coincidir</w:t>
      </w:r>
      <w:r w:rsidR="006E25D2">
        <w:rPr>
          <w:rFonts w:ascii="Tahoma" w:hAnsi="Tahoma" w:cs="Tahoma"/>
          <w:sz w:val="24"/>
          <w:szCs w:val="24"/>
        </w:rPr>
        <w:t xml:space="preserve"> con la determinación a la que se </w:t>
      </w:r>
      <w:r w:rsidR="007D3A17">
        <w:rPr>
          <w:rFonts w:ascii="Tahoma" w:hAnsi="Tahoma" w:cs="Tahoma"/>
          <w:sz w:val="24"/>
          <w:szCs w:val="24"/>
        </w:rPr>
        <w:t>arribó</w:t>
      </w:r>
      <w:r w:rsidR="006E25D2">
        <w:rPr>
          <w:rFonts w:ascii="Tahoma" w:hAnsi="Tahoma" w:cs="Tahoma"/>
          <w:sz w:val="24"/>
          <w:szCs w:val="24"/>
        </w:rPr>
        <w:t xml:space="preserve"> en</w:t>
      </w:r>
      <w:r w:rsidRPr="001106EA">
        <w:rPr>
          <w:rFonts w:ascii="Tahoma" w:hAnsi="Tahoma" w:cs="Tahoma"/>
          <w:sz w:val="24"/>
          <w:szCs w:val="24"/>
        </w:rPr>
        <w:t xml:space="preserve">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DA489A" w:rsidRPr="00894656">
        <w:rPr>
          <w:rFonts w:ascii="Tahoma" w:hAnsi="Tahoma" w:cs="Tahoma"/>
          <w:b/>
          <w:sz w:val="24"/>
          <w:szCs w:val="24"/>
        </w:rPr>
        <w:t>029</w:t>
      </w:r>
      <w:r w:rsidR="006E25D2" w:rsidRPr="00894656">
        <w:rPr>
          <w:rFonts w:ascii="Tahoma" w:hAnsi="Tahoma" w:cs="Tahoma"/>
          <w:b/>
          <w:sz w:val="24"/>
          <w:szCs w:val="24"/>
        </w:rPr>
        <w:t>55</w:t>
      </w:r>
      <w:r w:rsidR="002C2405" w:rsidRPr="00894656">
        <w:rPr>
          <w:rFonts w:ascii="Tahoma" w:hAnsi="Tahoma" w:cs="Tahoma"/>
          <w:b/>
          <w:sz w:val="24"/>
          <w:szCs w:val="24"/>
        </w:rPr>
        <w:t>/INFOEM/IP/RR/2018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140A57" w:rsidRDefault="000F4A5F" w:rsidP="00032450">
      <w:pPr>
        <w:spacing w:after="0" w:line="276" w:lineRule="auto"/>
        <w:jc w:val="both"/>
        <w:rPr>
          <w:rFonts w:ascii="Tahoma" w:hAnsi="Tahoma" w:cs="Tahoma"/>
          <w:sz w:val="24"/>
          <w:szCs w:val="24"/>
        </w:rPr>
      </w:pPr>
      <w:r>
        <w:rPr>
          <w:rFonts w:ascii="Tahoma" w:hAnsi="Tahoma" w:cs="Tahoma"/>
          <w:sz w:val="24"/>
          <w:szCs w:val="24"/>
        </w:rPr>
        <w:t xml:space="preserve">Como se advierte en los antecedentes de la resolución del </w:t>
      </w:r>
      <w:r w:rsidR="007D3A17">
        <w:rPr>
          <w:rFonts w:ascii="Tahoma" w:hAnsi="Tahoma" w:cs="Tahoma"/>
          <w:sz w:val="24"/>
          <w:szCs w:val="24"/>
        </w:rPr>
        <w:t>R</w:t>
      </w:r>
      <w:r>
        <w:rPr>
          <w:rFonts w:ascii="Tahoma" w:hAnsi="Tahoma" w:cs="Tahoma"/>
          <w:sz w:val="24"/>
          <w:szCs w:val="24"/>
        </w:rPr>
        <w:t>ecur</w:t>
      </w:r>
      <w:r w:rsidR="00982082">
        <w:rPr>
          <w:rFonts w:ascii="Tahoma" w:hAnsi="Tahoma" w:cs="Tahoma"/>
          <w:sz w:val="24"/>
          <w:szCs w:val="24"/>
        </w:rPr>
        <w:t xml:space="preserve">so de </w:t>
      </w:r>
      <w:r w:rsidR="007D3A17">
        <w:rPr>
          <w:rFonts w:ascii="Tahoma" w:hAnsi="Tahoma" w:cs="Tahoma"/>
          <w:sz w:val="24"/>
          <w:szCs w:val="24"/>
        </w:rPr>
        <w:t>R</w:t>
      </w:r>
      <w:r w:rsidR="00982082">
        <w:rPr>
          <w:rFonts w:ascii="Tahoma" w:hAnsi="Tahoma" w:cs="Tahoma"/>
          <w:sz w:val="24"/>
          <w:szCs w:val="24"/>
        </w:rPr>
        <w:t>evisión que nos ocupa, el</w:t>
      </w:r>
      <w:r>
        <w:rPr>
          <w:rFonts w:ascii="Tahoma" w:hAnsi="Tahoma" w:cs="Tahoma"/>
          <w:sz w:val="24"/>
          <w:szCs w:val="24"/>
        </w:rPr>
        <w:t xml:space="preserve"> particular requirió conocer, respecto </w:t>
      </w:r>
      <w:r w:rsidR="005B3F7C">
        <w:rPr>
          <w:rFonts w:ascii="Tahoma" w:hAnsi="Tahoma" w:cs="Tahoma"/>
          <w:sz w:val="24"/>
          <w:szCs w:val="24"/>
        </w:rPr>
        <w:t xml:space="preserve">de un integrante de </w:t>
      </w:r>
      <w:r w:rsidR="00042F51">
        <w:rPr>
          <w:rFonts w:ascii="Tahoma" w:hAnsi="Tahoma" w:cs="Tahoma"/>
          <w:sz w:val="24"/>
          <w:szCs w:val="24"/>
        </w:rPr>
        <w:t>una</w:t>
      </w:r>
      <w:r w:rsidR="005B3F7C">
        <w:rPr>
          <w:rFonts w:ascii="Tahoma" w:hAnsi="Tahoma" w:cs="Tahoma"/>
          <w:sz w:val="24"/>
          <w:szCs w:val="24"/>
        </w:rPr>
        <w:t xml:space="preserve"> Institución de Seguridad Pública</w:t>
      </w:r>
      <w:r w:rsidR="00104A75">
        <w:rPr>
          <w:rFonts w:ascii="Tahoma" w:hAnsi="Tahoma" w:cs="Tahoma"/>
          <w:sz w:val="24"/>
          <w:szCs w:val="24"/>
        </w:rPr>
        <w:t xml:space="preserve">, </w:t>
      </w:r>
      <w:r w:rsidR="007D3A17">
        <w:rPr>
          <w:rFonts w:ascii="Tahoma" w:hAnsi="Tahoma" w:cs="Tahoma"/>
          <w:sz w:val="24"/>
          <w:szCs w:val="24"/>
        </w:rPr>
        <w:t>diversos aspectos que a continuación se enlistan</w:t>
      </w:r>
      <w:r w:rsidR="006016F9">
        <w:rPr>
          <w:rFonts w:ascii="Tahoma" w:hAnsi="Tahoma" w:cs="Tahoma"/>
          <w:sz w:val="24"/>
          <w:szCs w:val="24"/>
        </w:rPr>
        <w:t>:</w:t>
      </w:r>
    </w:p>
    <w:p w:rsidR="006016F9" w:rsidRDefault="006016F9" w:rsidP="00032450">
      <w:pPr>
        <w:spacing w:after="0" w:line="276" w:lineRule="auto"/>
        <w:jc w:val="both"/>
        <w:rPr>
          <w:rFonts w:ascii="Tahoma" w:hAnsi="Tahoma" w:cs="Tahoma"/>
          <w:sz w:val="24"/>
          <w:szCs w:val="24"/>
        </w:rPr>
      </w:pPr>
    </w:p>
    <w:p w:rsidR="00F63637" w:rsidRPr="00F63637" w:rsidRDefault="00F63637" w:rsidP="00F63637">
      <w:pPr>
        <w:numPr>
          <w:ilvl w:val="0"/>
          <w:numId w:val="15"/>
        </w:numPr>
        <w:spacing w:after="0" w:line="276" w:lineRule="auto"/>
        <w:jc w:val="both"/>
        <w:rPr>
          <w:rFonts w:ascii="Tahoma" w:hAnsi="Tahoma" w:cs="Tahoma"/>
          <w:sz w:val="24"/>
          <w:szCs w:val="24"/>
          <w:lang w:val="es-MX"/>
        </w:rPr>
      </w:pPr>
      <w:r w:rsidRPr="00F63637">
        <w:rPr>
          <w:rFonts w:ascii="Tahoma" w:hAnsi="Tahoma" w:cs="Tahoma"/>
          <w:sz w:val="24"/>
          <w:szCs w:val="24"/>
          <w:lang w:val="es-MX"/>
        </w:rPr>
        <w:t>La documentación sobre el resultado de las evaluaciones de control de confianza.</w:t>
      </w:r>
    </w:p>
    <w:p w:rsidR="00F63637" w:rsidRPr="00F63637" w:rsidRDefault="00042F51" w:rsidP="00F63637">
      <w:pPr>
        <w:numPr>
          <w:ilvl w:val="0"/>
          <w:numId w:val="15"/>
        </w:numPr>
        <w:spacing w:after="0" w:line="276" w:lineRule="auto"/>
        <w:jc w:val="both"/>
        <w:rPr>
          <w:rFonts w:ascii="Tahoma" w:hAnsi="Tahoma" w:cs="Tahoma"/>
          <w:sz w:val="24"/>
          <w:szCs w:val="24"/>
          <w:lang w:val="es-MX"/>
        </w:rPr>
      </w:pPr>
      <w:r>
        <w:rPr>
          <w:rFonts w:ascii="Tahoma" w:hAnsi="Tahoma" w:cs="Tahoma"/>
          <w:sz w:val="24"/>
          <w:szCs w:val="24"/>
          <w:lang w:val="es-MX"/>
        </w:rPr>
        <w:t>En caso de que el resultado fuera No Aprobado</w:t>
      </w:r>
      <w:r w:rsidR="00F63637" w:rsidRPr="00F63637">
        <w:rPr>
          <w:rFonts w:ascii="Tahoma" w:hAnsi="Tahoma" w:cs="Tahoma"/>
          <w:sz w:val="24"/>
          <w:szCs w:val="24"/>
          <w:lang w:val="es-MX"/>
        </w:rPr>
        <w:t xml:space="preserve">, </w:t>
      </w:r>
      <w:r>
        <w:rPr>
          <w:rFonts w:ascii="Tahoma" w:hAnsi="Tahoma" w:cs="Tahoma"/>
          <w:sz w:val="24"/>
          <w:szCs w:val="24"/>
          <w:lang w:val="es-MX"/>
        </w:rPr>
        <w:t>el</w:t>
      </w:r>
      <w:r w:rsidR="00F63637" w:rsidRPr="00F63637">
        <w:rPr>
          <w:rFonts w:ascii="Tahoma" w:hAnsi="Tahoma" w:cs="Tahoma"/>
          <w:sz w:val="24"/>
          <w:szCs w:val="24"/>
          <w:lang w:val="es-MX"/>
        </w:rPr>
        <w:t xml:space="preserve"> informe </w:t>
      </w:r>
      <w:r>
        <w:rPr>
          <w:rFonts w:ascii="Tahoma" w:hAnsi="Tahoma" w:cs="Tahoma"/>
          <w:sz w:val="24"/>
          <w:szCs w:val="24"/>
          <w:lang w:val="es-MX"/>
        </w:rPr>
        <w:t xml:space="preserve">del </w:t>
      </w:r>
      <w:r w:rsidR="00F63637" w:rsidRPr="00F63637">
        <w:rPr>
          <w:rFonts w:ascii="Tahoma" w:hAnsi="Tahoma" w:cs="Tahoma"/>
          <w:sz w:val="24"/>
          <w:szCs w:val="24"/>
          <w:lang w:val="es-MX"/>
        </w:rPr>
        <w:t>por qué no se ha iniciado el procedimiento de baja o la rescisión del contrato.</w:t>
      </w:r>
    </w:p>
    <w:p w:rsidR="00F63637" w:rsidRPr="00F63637" w:rsidRDefault="00F63637" w:rsidP="00F63637">
      <w:pPr>
        <w:numPr>
          <w:ilvl w:val="0"/>
          <w:numId w:val="15"/>
        </w:numPr>
        <w:spacing w:after="0" w:line="276" w:lineRule="auto"/>
        <w:jc w:val="both"/>
        <w:rPr>
          <w:rFonts w:ascii="Tahoma" w:hAnsi="Tahoma" w:cs="Tahoma"/>
          <w:sz w:val="24"/>
          <w:szCs w:val="24"/>
          <w:lang w:val="es-MX"/>
        </w:rPr>
      </w:pPr>
      <w:r w:rsidRPr="00F63637">
        <w:rPr>
          <w:rFonts w:ascii="Tahoma" w:hAnsi="Tahoma" w:cs="Tahoma"/>
          <w:sz w:val="24"/>
          <w:szCs w:val="24"/>
          <w:lang w:val="es-MX"/>
        </w:rPr>
        <w:t>La fecha en que se notificaron al Sujeto Obligado los resultados de la evaluación de control de confianza.</w:t>
      </w:r>
    </w:p>
    <w:p w:rsidR="00F63637" w:rsidRPr="00F63637" w:rsidRDefault="00042F51" w:rsidP="00F63637">
      <w:pPr>
        <w:numPr>
          <w:ilvl w:val="0"/>
          <w:numId w:val="15"/>
        </w:numPr>
        <w:spacing w:after="0" w:line="276" w:lineRule="auto"/>
        <w:jc w:val="both"/>
        <w:rPr>
          <w:rFonts w:ascii="Tahoma" w:hAnsi="Tahoma" w:cs="Tahoma"/>
          <w:sz w:val="24"/>
          <w:szCs w:val="24"/>
          <w:lang w:val="es-MX"/>
        </w:rPr>
      </w:pPr>
      <w:r>
        <w:rPr>
          <w:rFonts w:ascii="Tahoma" w:hAnsi="Tahoma" w:cs="Tahoma"/>
          <w:sz w:val="24"/>
          <w:szCs w:val="24"/>
          <w:lang w:val="es-MX"/>
        </w:rPr>
        <w:t>Informe sobre el</w:t>
      </w:r>
      <w:r w:rsidR="00F63637" w:rsidRPr="00F63637">
        <w:rPr>
          <w:rFonts w:ascii="Tahoma" w:hAnsi="Tahoma" w:cs="Tahoma"/>
          <w:sz w:val="24"/>
          <w:szCs w:val="24"/>
          <w:lang w:val="es-MX"/>
        </w:rPr>
        <w:t xml:space="preserve"> por qué se ha protegido a la persona referida y no se le ha iniciado procedimiento de baja o rescisión de contrato como al personal que no aprobó los exámenes de control de confianza.</w:t>
      </w:r>
    </w:p>
    <w:p w:rsidR="00F63637" w:rsidRPr="00F63637" w:rsidRDefault="00042F51" w:rsidP="00F63637">
      <w:pPr>
        <w:numPr>
          <w:ilvl w:val="0"/>
          <w:numId w:val="15"/>
        </w:numPr>
        <w:spacing w:after="0" w:line="276" w:lineRule="auto"/>
        <w:jc w:val="both"/>
        <w:rPr>
          <w:rFonts w:ascii="Tahoma" w:hAnsi="Tahoma" w:cs="Tahoma"/>
          <w:sz w:val="24"/>
          <w:szCs w:val="24"/>
          <w:lang w:val="es-MX"/>
        </w:rPr>
      </w:pPr>
      <w:r>
        <w:rPr>
          <w:rFonts w:ascii="Tahoma" w:hAnsi="Tahoma" w:cs="Tahoma"/>
          <w:sz w:val="24"/>
          <w:szCs w:val="24"/>
          <w:lang w:val="es-MX"/>
        </w:rPr>
        <w:t>Informe</w:t>
      </w:r>
      <w:r w:rsidR="00F63637" w:rsidRPr="00F63637">
        <w:rPr>
          <w:rFonts w:ascii="Tahoma" w:hAnsi="Tahoma" w:cs="Tahoma"/>
          <w:sz w:val="24"/>
          <w:szCs w:val="24"/>
          <w:lang w:val="es-MX"/>
        </w:rPr>
        <w:t xml:space="preserve"> </w:t>
      </w:r>
      <w:r>
        <w:rPr>
          <w:rFonts w:ascii="Tahoma" w:hAnsi="Tahoma" w:cs="Tahoma"/>
          <w:sz w:val="24"/>
          <w:szCs w:val="24"/>
          <w:lang w:val="es-MX"/>
        </w:rPr>
        <w:t>de</w:t>
      </w:r>
      <w:r w:rsidR="007D3A17">
        <w:rPr>
          <w:rFonts w:ascii="Tahoma" w:hAnsi="Tahoma" w:cs="Tahoma"/>
          <w:sz w:val="24"/>
          <w:szCs w:val="24"/>
          <w:lang w:val="es-MX"/>
        </w:rPr>
        <w:t xml:space="preserve">l motivo de </w:t>
      </w:r>
      <w:r w:rsidR="00F63637" w:rsidRPr="00F63637">
        <w:rPr>
          <w:rFonts w:ascii="Tahoma" w:hAnsi="Tahoma" w:cs="Tahoma"/>
          <w:sz w:val="24"/>
          <w:szCs w:val="24"/>
          <w:lang w:val="es-MX"/>
        </w:rPr>
        <w:t>los beneficios de la persona referida, respecto a salidas temprano, bonos y primas dominicales del año dos mil quince a dos mil diecisiete.</w:t>
      </w:r>
    </w:p>
    <w:p w:rsidR="00F63637" w:rsidRPr="00F63637" w:rsidRDefault="00F63637" w:rsidP="00F63637">
      <w:pPr>
        <w:numPr>
          <w:ilvl w:val="0"/>
          <w:numId w:val="15"/>
        </w:numPr>
        <w:spacing w:after="0" w:line="276" w:lineRule="auto"/>
        <w:jc w:val="both"/>
        <w:rPr>
          <w:rFonts w:ascii="Tahoma" w:hAnsi="Tahoma" w:cs="Tahoma"/>
          <w:sz w:val="24"/>
          <w:szCs w:val="24"/>
          <w:lang w:val="es-MX"/>
        </w:rPr>
      </w:pPr>
      <w:r w:rsidRPr="00F63637">
        <w:rPr>
          <w:rFonts w:ascii="Tahoma" w:hAnsi="Tahoma" w:cs="Tahoma"/>
          <w:sz w:val="24"/>
          <w:szCs w:val="24"/>
          <w:lang w:val="es-MX"/>
        </w:rPr>
        <w:lastRenderedPageBreak/>
        <w:t>Se explique la relación afectiva de la persona referida con el Director General del Centro de Información y Estadística y con el Secretario Ejecutivo del Sistema Estatal de Seguridad.</w:t>
      </w:r>
    </w:p>
    <w:p w:rsidR="00DA489A" w:rsidRPr="00DA489A" w:rsidRDefault="00DA489A" w:rsidP="00DA489A">
      <w:pPr>
        <w:spacing w:after="0" w:line="276" w:lineRule="auto"/>
        <w:ind w:left="720"/>
        <w:jc w:val="both"/>
        <w:rPr>
          <w:rFonts w:ascii="Tahoma" w:hAnsi="Tahoma" w:cs="Tahoma"/>
          <w:sz w:val="24"/>
          <w:szCs w:val="24"/>
        </w:rPr>
      </w:pPr>
    </w:p>
    <w:p w:rsidR="00042F51" w:rsidRPr="007D3A17" w:rsidRDefault="006016F9" w:rsidP="00032450">
      <w:pPr>
        <w:spacing w:after="0" w:line="276" w:lineRule="auto"/>
        <w:jc w:val="both"/>
        <w:rPr>
          <w:rFonts w:ascii="Tahoma" w:hAnsi="Tahoma" w:cs="Tahoma"/>
          <w:sz w:val="24"/>
          <w:szCs w:val="24"/>
          <w:lang w:val="es-MX"/>
        </w:rPr>
      </w:pPr>
      <w:r>
        <w:rPr>
          <w:rFonts w:ascii="Tahoma" w:hAnsi="Tahoma" w:cs="Tahoma"/>
          <w:sz w:val="24"/>
          <w:szCs w:val="24"/>
        </w:rPr>
        <w:t xml:space="preserve">En respuesta, el </w:t>
      </w:r>
      <w:r w:rsidR="00F63637" w:rsidRPr="00F63637">
        <w:rPr>
          <w:rFonts w:ascii="Tahoma" w:hAnsi="Tahoma" w:cs="Tahoma"/>
          <w:sz w:val="24"/>
          <w:szCs w:val="24"/>
          <w:lang w:val="es-MX"/>
        </w:rPr>
        <w:t>Secretariado Ejecutivo del Sistema Estatal de Seguridad Pública</w:t>
      </w:r>
      <w:r w:rsidR="00042F51">
        <w:rPr>
          <w:rFonts w:ascii="Tahoma" w:hAnsi="Tahoma" w:cs="Tahoma"/>
          <w:sz w:val="24"/>
          <w:szCs w:val="24"/>
        </w:rPr>
        <w:t xml:space="preserve"> </w:t>
      </w:r>
      <w:r w:rsidR="00F63637">
        <w:rPr>
          <w:rFonts w:ascii="Tahoma" w:hAnsi="Tahoma" w:cs="Tahoma"/>
          <w:sz w:val="24"/>
          <w:szCs w:val="24"/>
          <w:lang w:val="es-MX"/>
        </w:rPr>
        <w:t>informó</w:t>
      </w:r>
      <w:r w:rsidR="00F63637" w:rsidRPr="00F63637">
        <w:rPr>
          <w:rFonts w:ascii="Tahoma" w:hAnsi="Tahoma" w:cs="Tahoma"/>
          <w:sz w:val="24"/>
          <w:szCs w:val="24"/>
          <w:lang w:val="es-MX"/>
        </w:rPr>
        <w:t xml:space="preserve"> </w:t>
      </w:r>
      <w:r w:rsidR="00F63637">
        <w:rPr>
          <w:rFonts w:ascii="Tahoma" w:hAnsi="Tahoma" w:cs="Tahoma"/>
          <w:sz w:val="24"/>
          <w:szCs w:val="24"/>
          <w:lang w:val="es-MX"/>
        </w:rPr>
        <w:t xml:space="preserve">al Recurrente </w:t>
      </w:r>
      <w:r w:rsidR="00F63637" w:rsidRPr="00F63637">
        <w:rPr>
          <w:rFonts w:ascii="Tahoma" w:hAnsi="Tahoma" w:cs="Tahoma"/>
          <w:sz w:val="24"/>
          <w:szCs w:val="24"/>
          <w:lang w:val="es-MX"/>
        </w:rPr>
        <w:t>que</w:t>
      </w:r>
      <w:r w:rsidR="00042F51">
        <w:rPr>
          <w:rFonts w:ascii="Tahoma" w:hAnsi="Tahoma" w:cs="Tahoma"/>
          <w:sz w:val="24"/>
          <w:szCs w:val="24"/>
          <w:lang w:val="es-MX"/>
        </w:rPr>
        <w:t xml:space="preserve"> el documento que da respuesta al contenido número 1 de la solicitud de información es clasificado como confidencial, en términos del artículo 109 de la Ley de Seguridad del Estado de México. En ese sentido, el </w:t>
      </w:r>
      <w:r w:rsidR="007D3A17">
        <w:rPr>
          <w:rFonts w:ascii="Tahoma" w:hAnsi="Tahoma" w:cs="Tahoma"/>
          <w:sz w:val="24"/>
          <w:szCs w:val="24"/>
          <w:lang w:val="es-MX"/>
        </w:rPr>
        <w:t>S</w:t>
      </w:r>
      <w:r w:rsidR="00042F51">
        <w:rPr>
          <w:rFonts w:ascii="Tahoma" w:hAnsi="Tahoma" w:cs="Tahoma"/>
          <w:sz w:val="24"/>
          <w:szCs w:val="24"/>
          <w:lang w:val="es-MX"/>
        </w:rPr>
        <w:t xml:space="preserve">ujeto </w:t>
      </w:r>
      <w:r w:rsidR="007D3A17">
        <w:rPr>
          <w:rFonts w:ascii="Tahoma" w:hAnsi="Tahoma" w:cs="Tahoma"/>
          <w:sz w:val="24"/>
          <w:szCs w:val="24"/>
          <w:lang w:val="es-MX"/>
        </w:rPr>
        <w:t>O</w:t>
      </w:r>
      <w:r w:rsidR="00042F51">
        <w:rPr>
          <w:rFonts w:ascii="Tahoma" w:hAnsi="Tahoma" w:cs="Tahoma"/>
          <w:sz w:val="24"/>
          <w:szCs w:val="24"/>
          <w:lang w:val="es-MX"/>
        </w:rPr>
        <w:t>bligado omitió pronunciarse en relación al contenido número 2 de la solicitud de información.</w:t>
      </w:r>
      <w:r w:rsidR="007D3A17">
        <w:rPr>
          <w:rFonts w:ascii="Tahoma" w:hAnsi="Tahoma" w:cs="Tahoma"/>
          <w:sz w:val="24"/>
          <w:szCs w:val="24"/>
          <w:lang w:val="es-MX"/>
        </w:rPr>
        <w:t xml:space="preserve"> </w:t>
      </w:r>
      <w:r w:rsidR="00042F51">
        <w:rPr>
          <w:rFonts w:ascii="Tahoma" w:hAnsi="Tahoma" w:cs="Tahoma"/>
          <w:sz w:val="24"/>
          <w:szCs w:val="24"/>
        </w:rPr>
        <w:t>Por otro lado,</w:t>
      </w:r>
      <w:r w:rsidR="007936B3">
        <w:rPr>
          <w:rFonts w:ascii="Tahoma" w:hAnsi="Tahoma" w:cs="Tahoma"/>
          <w:sz w:val="24"/>
          <w:szCs w:val="24"/>
        </w:rPr>
        <w:t xml:space="preserve"> en relación a los contenidos nú</w:t>
      </w:r>
      <w:r w:rsidR="00042F51">
        <w:rPr>
          <w:rFonts w:ascii="Tahoma" w:hAnsi="Tahoma" w:cs="Tahoma"/>
          <w:sz w:val="24"/>
          <w:szCs w:val="24"/>
        </w:rPr>
        <w:t xml:space="preserve">mero 3, 4, 5 y 6, el </w:t>
      </w:r>
      <w:r w:rsidR="007D3A17">
        <w:rPr>
          <w:rFonts w:ascii="Tahoma" w:hAnsi="Tahoma" w:cs="Tahoma"/>
          <w:sz w:val="24"/>
          <w:szCs w:val="24"/>
        </w:rPr>
        <w:t>S</w:t>
      </w:r>
      <w:r w:rsidR="00042F51">
        <w:rPr>
          <w:rFonts w:ascii="Tahoma" w:hAnsi="Tahoma" w:cs="Tahoma"/>
          <w:sz w:val="24"/>
          <w:szCs w:val="24"/>
        </w:rPr>
        <w:t xml:space="preserve">ujeto </w:t>
      </w:r>
      <w:r w:rsidR="007D3A17">
        <w:rPr>
          <w:rFonts w:ascii="Tahoma" w:hAnsi="Tahoma" w:cs="Tahoma"/>
          <w:sz w:val="24"/>
          <w:szCs w:val="24"/>
        </w:rPr>
        <w:t>O</w:t>
      </w:r>
      <w:r w:rsidR="00042F51">
        <w:rPr>
          <w:rFonts w:ascii="Tahoma" w:hAnsi="Tahoma" w:cs="Tahoma"/>
          <w:sz w:val="24"/>
          <w:szCs w:val="24"/>
        </w:rPr>
        <w:t>bligado proporcionó al solicitante la respuesta correspondiente.</w:t>
      </w:r>
    </w:p>
    <w:p w:rsidR="00982082" w:rsidRPr="00042F51" w:rsidRDefault="00982082" w:rsidP="00032450">
      <w:pPr>
        <w:spacing w:after="0" w:line="276" w:lineRule="auto"/>
        <w:jc w:val="both"/>
        <w:rPr>
          <w:rFonts w:ascii="Tahoma" w:hAnsi="Tahoma" w:cs="Tahoma"/>
          <w:sz w:val="24"/>
          <w:szCs w:val="24"/>
        </w:rPr>
      </w:pPr>
    </w:p>
    <w:p w:rsidR="00E03FEB" w:rsidRDefault="00982082" w:rsidP="00032450">
      <w:pPr>
        <w:spacing w:after="0" w:line="276" w:lineRule="auto"/>
        <w:jc w:val="both"/>
        <w:rPr>
          <w:rFonts w:ascii="Tahoma" w:hAnsi="Tahoma" w:cs="Tahoma"/>
          <w:sz w:val="24"/>
          <w:szCs w:val="24"/>
          <w:lang w:val="es-MX"/>
        </w:rPr>
      </w:pPr>
      <w:r w:rsidRPr="007D50AD">
        <w:rPr>
          <w:rFonts w:ascii="Tahoma" w:hAnsi="Tahoma" w:cs="Tahoma"/>
          <w:sz w:val="24"/>
          <w:szCs w:val="24"/>
        </w:rPr>
        <w:t>Inconforme con</w:t>
      </w:r>
      <w:r w:rsidR="00042F51">
        <w:rPr>
          <w:rFonts w:ascii="Tahoma" w:hAnsi="Tahoma" w:cs="Tahoma"/>
          <w:sz w:val="24"/>
          <w:szCs w:val="24"/>
        </w:rPr>
        <w:t xml:space="preserve"> lo anterior</w:t>
      </w:r>
      <w:r w:rsidR="000A5FDA">
        <w:rPr>
          <w:rFonts w:ascii="Tahoma" w:hAnsi="Tahoma" w:cs="Tahoma"/>
          <w:sz w:val="24"/>
          <w:szCs w:val="24"/>
        </w:rPr>
        <w:t>, el particular presentó R</w:t>
      </w:r>
      <w:r w:rsidRPr="007D50AD">
        <w:rPr>
          <w:rFonts w:ascii="Tahoma" w:hAnsi="Tahoma" w:cs="Tahoma"/>
          <w:sz w:val="24"/>
          <w:szCs w:val="24"/>
        </w:rPr>
        <w:t xml:space="preserve">ecurso de </w:t>
      </w:r>
      <w:r w:rsidR="000A5FDA">
        <w:rPr>
          <w:rFonts w:ascii="Tahoma" w:hAnsi="Tahoma" w:cs="Tahoma"/>
          <w:sz w:val="24"/>
          <w:szCs w:val="24"/>
        </w:rPr>
        <w:t>R</w:t>
      </w:r>
      <w:r w:rsidRPr="007D50AD">
        <w:rPr>
          <w:rFonts w:ascii="Tahoma" w:hAnsi="Tahoma" w:cs="Tahoma"/>
          <w:sz w:val="24"/>
          <w:szCs w:val="24"/>
        </w:rPr>
        <w:t>evisión ante este Instituto, mediante el cual manifestó</w:t>
      </w:r>
      <w:r w:rsidR="00DA291F">
        <w:rPr>
          <w:rFonts w:ascii="Tahoma" w:hAnsi="Tahoma" w:cs="Tahoma"/>
          <w:sz w:val="24"/>
          <w:szCs w:val="24"/>
        </w:rPr>
        <w:t xml:space="preserve">, únicamente, </w:t>
      </w:r>
      <w:r w:rsidR="009F4E9E" w:rsidRPr="007D50AD">
        <w:rPr>
          <w:rFonts w:ascii="Tahoma" w:hAnsi="Tahoma" w:cs="Tahoma"/>
          <w:sz w:val="24"/>
          <w:szCs w:val="24"/>
        </w:rPr>
        <w:t>inconformidad con l</w:t>
      </w:r>
      <w:r w:rsidR="00E03FEB">
        <w:rPr>
          <w:rFonts w:ascii="Tahoma" w:hAnsi="Tahoma" w:cs="Tahoma"/>
          <w:sz w:val="24"/>
          <w:szCs w:val="24"/>
        </w:rPr>
        <w:t>a clasificación</w:t>
      </w:r>
      <w:r w:rsidR="00DA291F">
        <w:rPr>
          <w:rFonts w:ascii="Tahoma" w:hAnsi="Tahoma" w:cs="Tahoma"/>
          <w:sz w:val="24"/>
          <w:szCs w:val="24"/>
        </w:rPr>
        <w:t xml:space="preserve"> del</w:t>
      </w:r>
      <w:r w:rsidR="00E03FEB">
        <w:rPr>
          <w:rFonts w:ascii="Tahoma" w:hAnsi="Tahoma" w:cs="Tahoma"/>
          <w:sz w:val="24"/>
          <w:szCs w:val="24"/>
        </w:rPr>
        <w:t xml:space="preserve"> </w:t>
      </w:r>
      <w:r w:rsidR="00DA291F">
        <w:rPr>
          <w:rFonts w:ascii="Tahoma" w:hAnsi="Tahoma" w:cs="Tahoma"/>
          <w:sz w:val="24"/>
          <w:szCs w:val="24"/>
        </w:rPr>
        <w:t>documento que atendería</w:t>
      </w:r>
      <w:r w:rsidR="00E03FEB">
        <w:rPr>
          <w:rFonts w:ascii="Tahoma" w:hAnsi="Tahoma" w:cs="Tahoma"/>
          <w:sz w:val="24"/>
          <w:szCs w:val="24"/>
        </w:rPr>
        <w:t xml:space="preserve"> </w:t>
      </w:r>
      <w:r w:rsidR="00DA291F">
        <w:rPr>
          <w:rFonts w:ascii="Tahoma" w:hAnsi="Tahoma" w:cs="Tahoma"/>
          <w:sz w:val="24"/>
          <w:szCs w:val="24"/>
        </w:rPr>
        <w:t>el</w:t>
      </w:r>
      <w:r w:rsidR="00E03FEB">
        <w:rPr>
          <w:rFonts w:ascii="Tahoma" w:hAnsi="Tahoma" w:cs="Tahoma"/>
          <w:sz w:val="24"/>
          <w:szCs w:val="24"/>
        </w:rPr>
        <w:t xml:space="preserve"> </w:t>
      </w:r>
      <w:r w:rsidR="00DA291F">
        <w:rPr>
          <w:rFonts w:ascii="Tahoma" w:hAnsi="Tahoma" w:cs="Tahoma"/>
          <w:sz w:val="24"/>
          <w:szCs w:val="24"/>
        </w:rPr>
        <w:t>contenido de información</w:t>
      </w:r>
      <w:r w:rsidR="00E03FEB">
        <w:rPr>
          <w:rFonts w:ascii="Tahoma" w:hAnsi="Tahoma" w:cs="Tahoma"/>
          <w:sz w:val="24"/>
          <w:szCs w:val="24"/>
        </w:rPr>
        <w:t xml:space="preserve"> número </w:t>
      </w:r>
      <w:r w:rsidR="00E03FEB" w:rsidRPr="00E03FEB">
        <w:rPr>
          <w:rFonts w:ascii="Tahoma" w:hAnsi="Tahoma" w:cs="Tahoma"/>
          <w:b/>
          <w:sz w:val="24"/>
          <w:szCs w:val="24"/>
        </w:rPr>
        <w:t>1</w:t>
      </w:r>
      <w:r w:rsidR="00E03FEB">
        <w:rPr>
          <w:rFonts w:ascii="Tahoma" w:hAnsi="Tahoma" w:cs="Tahoma"/>
          <w:sz w:val="24"/>
          <w:szCs w:val="24"/>
        </w:rPr>
        <w:t xml:space="preserve">, referente </w:t>
      </w:r>
      <w:r w:rsidR="00DA291F">
        <w:rPr>
          <w:rFonts w:ascii="Tahoma" w:hAnsi="Tahoma" w:cs="Tahoma"/>
          <w:sz w:val="24"/>
          <w:szCs w:val="24"/>
        </w:rPr>
        <w:t xml:space="preserve">al </w:t>
      </w:r>
      <w:r w:rsidR="00E03FEB" w:rsidRPr="00F63637">
        <w:rPr>
          <w:rFonts w:ascii="Tahoma" w:hAnsi="Tahoma" w:cs="Tahoma"/>
          <w:sz w:val="24"/>
          <w:szCs w:val="24"/>
          <w:lang w:val="es-MX"/>
        </w:rPr>
        <w:t xml:space="preserve">resultado de la </w:t>
      </w:r>
      <w:r w:rsidR="00DA291F" w:rsidRPr="00F63637">
        <w:rPr>
          <w:rFonts w:ascii="Tahoma" w:hAnsi="Tahoma" w:cs="Tahoma"/>
          <w:sz w:val="24"/>
          <w:szCs w:val="24"/>
          <w:lang w:val="es-MX"/>
        </w:rPr>
        <w:t>evaluaci</w:t>
      </w:r>
      <w:r w:rsidR="00DA291F">
        <w:rPr>
          <w:rFonts w:ascii="Tahoma" w:hAnsi="Tahoma" w:cs="Tahoma"/>
          <w:sz w:val="24"/>
          <w:szCs w:val="24"/>
          <w:lang w:val="es-MX"/>
        </w:rPr>
        <w:t>ón</w:t>
      </w:r>
      <w:r w:rsidR="00E03FEB">
        <w:rPr>
          <w:rFonts w:ascii="Tahoma" w:hAnsi="Tahoma" w:cs="Tahoma"/>
          <w:sz w:val="24"/>
          <w:szCs w:val="24"/>
          <w:lang w:val="es-MX"/>
        </w:rPr>
        <w:t xml:space="preserve"> de control de confianza de </w:t>
      </w:r>
      <w:r w:rsidR="00666F32">
        <w:rPr>
          <w:rFonts w:ascii="Tahoma" w:hAnsi="Tahoma" w:cs="Tahoma"/>
          <w:sz w:val="24"/>
          <w:szCs w:val="24"/>
          <w:lang w:val="es-MX"/>
        </w:rPr>
        <w:t xml:space="preserve">una </w:t>
      </w:r>
      <w:r w:rsidR="00E03FEB">
        <w:rPr>
          <w:rFonts w:ascii="Tahoma" w:hAnsi="Tahoma" w:cs="Tahoma"/>
          <w:sz w:val="24"/>
          <w:szCs w:val="24"/>
          <w:lang w:val="es-MX"/>
        </w:rPr>
        <w:t>persona</w:t>
      </w:r>
      <w:r w:rsidR="00666F32">
        <w:rPr>
          <w:rFonts w:ascii="Tahoma" w:hAnsi="Tahoma" w:cs="Tahoma"/>
          <w:sz w:val="24"/>
          <w:szCs w:val="24"/>
          <w:lang w:val="es-MX"/>
        </w:rPr>
        <w:t xml:space="preserve"> en específico</w:t>
      </w:r>
      <w:r w:rsidR="00E03FEB">
        <w:rPr>
          <w:rFonts w:ascii="Tahoma" w:hAnsi="Tahoma" w:cs="Tahoma"/>
          <w:sz w:val="24"/>
          <w:szCs w:val="24"/>
          <w:lang w:val="es-MX"/>
        </w:rPr>
        <w:t>.</w:t>
      </w:r>
    </w:p>
    <w:p w:rsidR="00E03FEB" w:rsidRDefault="00E03FEB" w:rsidP="00032450">
      <w:pPr>
        <w:spacing w:after="0" w:line="276" w:lineRule="auto"/>
        <w:jc w:val="both"/>
        <w:rPr>
          <w:rFonts w:ascii="Tahoma" w:hAnsi="Tahoma" w:cs="Tahoma"/>
          <w:sz w:val="24"/>
          <w:szCs w:val="24"/>
          <w:lang w:val="es-MX"/>
        </w:rPr>
      </w:pPr>
    </w:p>
    <w:p w:rsidR="00DA291F" w:rsidRDefault="00DA291F" w:rsidP="00032450">
      <w:pPr>
        <w:spacing w:after="0" w:line="276" w:lineRule="auto"/>
        <w:jc w:val="both"/>
        <w:rPr>
          <w:rFonts w:ascii="Tahoma" w:hAnsi="Tahoma" w:cs="Tahoma"/>
          <w:sz w:val="24"/>
          <w:szCs w:val="24"/>
          <w:lang w:val="es-MX"/>
        </w:rPr>
      </w:pPr>
      <w:r>
        <w:rPr>
          <w:rFonts w:ascii="Tahoma" w:hAnsi="Tahoma" w:cs="Tahoma"/>
          <w:sz w:val="24"/>
          <w:szCs w:val="24"/>
          <w:lang w:val="es-MX"/>
        </w:rPr>
        <w:t>De ahí que, una vez analizada la controversia, el Comisionado Ponente sometiera al Pleno de este Instituto un proyecto de resolución en el sentido de clasificar como confidencial el resultado de la evaluación de control de confianza, en atención a lo dispuesto por el artículo 109 de la Ley de Segurida</w:t>
      </w:r>
      <w:r w:rsidR="00E541D3">
        <w:rPr>
          <w:rFonts w:ascii="Tahoma" w:hAnsi="Tahoma" w:cs="Tahoma"/>
          <w:sz w:val="24"/>
          <w:szCs w:val="24"/>
          <w:lang w:val="es-MX"/>
        </w:rPr>
        <w:t>d del Estado de México; s</w:t>
      </w:r>
      <w:r>
        <w:rPr>
          <w:rFonts w:ascii="Tahoma" w:hAnsi="Tahoma" w:cs="Tahoma"/>
          <w:sz w:val="24"/>
          <w:szCs w:val="24"/>
          <w:lang w:val="es-MX"/>
        </w:rPr>
        <w:t>in embargo, desde la óptica de un servidor, el asunto en cuestión reviste gran relevancia, por los temas que expondré líneas abajo</w:t>
      </w:r>
      <w:r w:rsidR="00B53AE9">
        <w:rPr>
          <w:rFonts w:ascii="Tahoma" w:hAnsi="Tahoma" w:cs="Tahoma"/>
          <w:sz w:val="24"/>
          <w:szCs w:val="24"/>
          <w:lang w:val="es-MX"/>
        </w:rPr>
        <w:t xml:space="preserve">, mismos que la resolución en comento no abordó, </w:t>
      </w:r>
      <w:r w:rsidR="00E541D3">
        <w:rPr>
          <w:rFonts w:ascii="Tahoma" w:hAnsi="Tahoma" w:cs="Tahoma"/>
          <w:sz w:val="24"/>
          <w:szCs w:val="24"/>
          <w:lang w:val="es-MX"/>
        </w:rPr>
        <w:t>en virtud de realizar</w:t>
      </w:r>
      <w:r w:rsidR="00B53AE9">
        <w:rPr>
          <w:rFonts w:ascii="Tahoma" w:hAnsi="Tahoma" w:cs="Tahoma"/>
          <w:sz w:val="24"/>
          <w:szCs w:val="24"/>
          <w:lang w:val="es-MX"/>
        </w:rPr>
        <w:t xml:space="preserve"> una interpretación literal y estricta de la Ley de Seguridad del Estado de México.</w:t>
      </w:r>
    </w:p>
    <w:p w:rsidR="00B53AE9" w:rsidRDefault="00B53AE9" w:rsidP="00032450">
      <w:pPr>
        <w:spacing w:after="0" w:line="276" w:lineRule="auto"/>
        <w:jc w:val="both"/>
        <w:rPr>
          <w:rFonts w:ascii="Tahoma" w:hAnsi="Tahoma" w:cs="Tahoma"/>
          <w:sz w:val="24"/>
          <w:szCs w:val="24"/>
          <w:lang w:val="es-MX"/>
        </w:rPr>
      </w:pPr>
    </w:p>
    <w:p w:rsidR="006A00E3" w:rsidRPr="00B53AE9" w:rsidRDefault="00B53AE9" w:rsidP="006A00E3">
      <w:pPr>
        <w:spacing w:after="0" w:line="276" w:lineRule="auto"/>
        <w:jc w:val="both"/>
        <w:rPr>
          <w:rFonts w:ascii="Tahoma" w:hAnsi="Tahoma" w:cs="Tahoma"/>
          <w:sz w:val="24"/>
          <w:szCs w:val="24"/>
          <w:lang w:val="es-MX"/>
        </w:rPr>
      </w:pPr>
      <w:r>
        <w:rPr>
          <w:rFonts w:ascii="Tahoma" w:hAnsi="Tahoma" w:cs="Tahoma"/>
          <w:sz w:val="24"/>
          <w:szCs w:val="24"/>
          <w:lang w:val="es-MX"/>
        </w:rPr>
        <w:t xml:space="preserve">Así, para comenzar con la exposición de los motivos que sustentan el presente </w:t>
      </w:r>
      <w:r w:rsidR="008D0617">
        <w:rPr>
          <w:rFonts w:ascii="Tahoma" w:hAnsi="Tahoma" w:cs="Tahoma"/>
          <w:sz w:val="24"/>
          <w:szCs w:val="24"/>
          <w:lang w:val="es-MX"/>
        </w:rPr>
        <w:t>V</w:t>
      </w:r>
      <w:r>
        <w:rPr>
          <w:rFonts w:ascii="Tahoma" w:hAnsi="Tahoma" w:cs="Tahoma"/>
          <w:sz w:val="24"/>
          <w:szCs w:val="24"/>
          <w:lang w:val="es-MX"/>
        </w:rPr>
        <w:t xml:space="preserve">oto </w:t>
      </w:r>
      <w:r w:rsidR="008D0617">
        <w:rPr>
          <w:rFonts w:ascii="Tahoma" w:hAnsi="Tahoma" w:cs="Tahoma"/>
          <w:sz w:val="24"/>
          <w:szCs w:val="24"/>
          <w:lang w:val="es-MX"/>
        </w:rPr>
        <w:t>D</w:t>
      </w:r>
      <w:r>
        <w:rPr>
          <w:rFonts w:ascii="Tahoma" w:hAnsi="Tahoma" w:cs="Tahoma"/>
          <w:sz w:val="24"/>
          <w:szCs w:val="24"/>
          <w:lang w:val="es-MX"/>
        </w:rPr>
        <w:t>isidente, en prim</w:t>
      </w:r>
      <w:r w:rsidR="003F7E57">
        <w:rPr>
          <w:rFonts w:ascii="Tahoma" w:hAnsi="Tahoma" w:cs="Tahoma"/>
          <w:sz w:val="24"/>
          <w:szCs w:val="24"/>
          <w:lang w:val="es-MX"/>
        </w:rPr>
        <w:t xml:space="preserve">er lugar, se debe considerar el contenido </w:t>
      </w:r>
      <w:r>
        <w:rPr>
          <w:rFonts w:ascii="Tahoma" w:hAnsi="Tahoma" w:cs="Tahoma"/>
          <w:sz w:val="24"/>
          <w:szCs w:val="24"/>
          <w:lang w:val="es-MX"/>
        </w:rPr>
        <w:t xml:space="preserve">del artículo 109 de la Ley de Seguridad del Estado de México, el cual </w:t>
      </w:r>
      <w:r w:rsidR="006A00E3">
        <w:rPr>
          <w:rFonts w:ascii="Tahoma" w:hAnsi="Tahoma" w:cs="Tahoma"/>
          <w:sz w:val="24"/>
          <w:szCs w:val="24"/>
        </w:rPr>
        <w:t xml:space="preserve">dispone </w:t>
      </w:r>
      <w:r>
        <w:rPr>
          <w:rFonts w:ascii="Tahoma" w:hAnsi="Tahoma" w:cs="Tahoma"/>
          <w:sz w:val="24"/>
          <w:szCs w:val="24"/>
        </w:rPr>
        <w:t>lo siguiente</w:t>
      </w:r>
      <w:r w:rsidR="006A00E3">
        <w:rPr>
          <w:rFonts w:ascii="Tahoma" w:hAnsi="Tahoma" w:cs="Tahoma"/>
          <w:sz w:val="24"/>
          <w:szCs w:val="24"/>
        </w:rPr>
        <w:t>:</w:t>
      </w:r>
    </w:p>
    <w:p w:rsidR="006A00E3" w:rsidRDefault="006A00E3" w:rsidP="006A00E3">
      <w:pPr>
        <w:spacing w:after="0" w:line="276" w:lineRule="auto"/>
        <w:jc w:val="both"/>
        <w:rPr>
          <w:rFonts w:ascii="Tahoma" w:hAnsi="Tahoma" w:cs="Tahoma"/>
          <w:sz w:val="24"/>
          <w:szCs w:val="24"/>
        </w:rPr>
      </w:pPr>
    </w:p>
    <w:p w:rsidR="006A00E3" w:rsidRDefault="006A00E3" w:rsidP="00675261">
      <w:pPr>
        <w:spacing w:after="0" w:line="240" w:lineRule="auto"/>
        <w:ind w:left="567" w:right="567"/>
        <w:jc w:val="both"/>
        <w:rPr>
          <w:rFonts w:ascii="Tahoma" w:hAnsi="Tahoma" w:cs="Tahoma"/>
          <w:sz w:val="20"/>
          <w:szCs w:val="20"/>
        </w:rPr>
      </w:pPr>
      <w:r>
        <w:rPr>
          <w:rFonts w:ascii="Tahoma" w:hAnsi="Tahoma" w:cs="Tahoma"/>
          <w:b/>
          <w:sz w:val="20"/>
          <w:szCs w:val="20"/>
        </w:rPr>
        <w:t>Artículo 109.-</w:t>
      </w:r>
      <w:r>
        <w:rPr>
          <w:rFonts w:ascii="Tahoma" w:hAnsi="Tahoma" w:cs="Tahoma"/>
          <w:sz w:val="20"/>
          <w:szCs w:val="20"/>
        </w:rPr>
        <w:t xml:space="preserve"> La certificación es el proceso mediante el cual los integrantes de las instituciones de seguridad pública se someten a las evaluaciones periódicas establecidas por el Centro, en los procedimientos de ingreso, promoción y permanencia. </w:t>
      </w:r>
    </w:p>
    <w:p w:rsidR="00675261" w:rsidRDefault="00675261" w:rsidP="00675261">
      <w:pPr>
        <w:spacing w:after="0" w:line="240" w:lineRule="auto"/>
        <w:ind w:left="567" w:right="567"/>
        <w:jc w:val="both"/>
        <w:rPr>
          <w:rFonts w:ascii="Tahoma" w:hAnsi="Tahoma" w:cs="Tahoma"/>
          <w:sz w:val="20"/>
          <w:szCs w:val="20"/>
        </w:rPr>
      </w:pPr>
    </w:p>
    <w:p w:rsidR="006A00E3" w:rsidRDefault="006A00E3" w:rsidP="00675261">
      <w:pPr>
        <w:spacing w:after="0" w:line="240" w:lineRule="auto"/>
        <w:ind w:left="567" w:right="567"/>
        <w:jc w:val="both"/>
        <w:rPr>
          <w:rFonts w:ascii="Tahoma" w:hAnsi="Tahoma" w:cs="Tahoma"/>
          <w:sz w:val="20"/>
          <w:szCs w:val="20"/>
        </w:rPr>
      </w:pPr>
      <w:r>
        <w:rPr>
          <w:rFonts w:ascii="Tahoma" w:hAnsi="Tahoma" w:cs="Tahoma"/>
          <w:sz w:val="20"/>
          <w:szCs w:val="20"/>
        </w:rPr>
        <w:lastRenderedPageBreak/>
        <w:t xml:space="preserve">Los aspirantes que ingresen a las instituciones de seguridad pública deberán contar con el Certificado y registro correspondientes, de conformidad con lo establecido por la Ley General. </w:t>
      </w:r>
    </w:p>
    <w:p w:rsidR="006A00E3" w:rsidRDefault="006A00E3" w:rsidP="00675261">
      <w:pPr>
        <w:spacing w:after="0" w:line="240" w:lineRule="auto"/>
        <w:ind w:left="567" w:right="567"/>
        <w:jc w:val="both"/>
        <w:rPr>
          <w:rFonts w:ascii="Tahoma" w:hAnsi="Tahoma" w:cs="Tahoma"/>
          <w:sz w:val="20"/>
          <w:szCs w:val="20"/>
        </w:rPr>
      </w:pPr>
    </w:p>
    <w:p w:rsidR="006A00E3" w:rsidRDefault="006A00E3" w:rsidP="00675261">
      <w:pPr>
        <w:spacing w:after="0" w:line="240" w:lineRule="auto"/>
        <w:ind w:left="567" w:right="567"/>
        <w:jc w:val="both"/>
        <w:rPr>
          <w:rFonts w:ascii="Tahoma" w:hAnsi="Tahoma" w:cs="Tahoma"/>
          <w:b/>
          <w:sz w:val="20"/>
          <w:szCs w:val="20"/>
          <w:u w:val="single"/>
        </w:rPr>
      </w:pPr>
      <w:r>
        <w:rPr>
          <w:rFonts w:ascii="Tahoma" w:hAnsi="Tahoma" w:cs="Tahoma"/>
          <w:b/>
          <w:sz w:val="20"/>
          <w:szCs w:val="20"/>
          <w:u w:val="single"/>
        </w:rPr>
        <w:t xml:space="preserve">Ninguna persona podrá ingresar o permanecer en las instituciones de seguridad pública sin contar con el Certificado y registro vigentes. </w:t>
      </w:r>
    </w:p>
    <w:p w:rsidR="006A00E3" w:rsidRDefault="006A00E3" w:rsidP="00675261">
      <w:pPr>
        <w:spacing w:after="0" w:line="240" w:lineRule="auto"/>
        <w:ind w:left="567" w:right="567"/>
        <w:jc w:val="both"/>
        <w:rPr>
          <w:rFonts w:ascii="Tahoma" w:hAnsi="Tahoma" w:cs="Tahoma"/>
          <w:sz w:val="20"/>
          <w:szCs w:val="20"/>
        </w:rPr>
      </w:pPr>
    </w:p>
    <w:p w:rsidR="006A00E3" w:rsidRDefault="006A00E3" w:rsidP="00675261">
      <w:pPr>
        <w:spacing w:after="0" w:line="240" w:lineRule="auto"/>
        <w:ind w:left="567" w:right="567"/>
        <w:jc w:val="both"/>
        <w:rPr>
          <w:rFonts w:ascii="Tahoma" w:hAnsi="Tahoma" w:cs="Tahoma"/>
          <w:sz w:val="20"/>
          <w:szCs w:val="20"/>
        </w:rPr>
      </w:pPr>
      <w:r w:rsidRPr="00B53AE9">
        <w:rPr>
          <w:rFonts w:ascii="Tahoma" w:hAnsi="Tahoma" w:cs="Tahoma"/>
          <w:b/>
          <w:sz w:val="20"/>
          <w:szCs w:val="20"/>
        </w:rPr>
        <w:t xml:space="preserve">Las evaluaciones </w:t>
      </w:r>
      <w:bookmarkStart w:id="0" w:name="_Hlk527208543"/>
      <w:r w:rsidRPr="00B53AE9">
        <w:rPr>
          <w:rFonts w:ascii="Tahoma" w:hAnsi="Tahoma" w:cs="Tahoma"/>
          <w:b/>
          <w:sz w:val="20"/>
          <w:szCs w:val="20"/>
        </w:rPr>
        <w:t>de control de confianza comprenderán los exámenes médico, toxicológico, psicológico, poligráfico, estudio socioeconómico y los demás que se consideren necesarios de conformidad con la normatividad aplicable</w:t>
      </w:r>
      <w:bookmarkEnd w:id="0"/>
      <w:r>
        <w:rPr>
          <w:rFonts w:ascii="Tahoma" w:hAnsi="Tahoma" w:cs="Tahoma"/>
          <w:sz w:val="20"/>
          <w:szCs w:val="20"/>
        </w:rPr>
        <w:t xml:space="preserve">. </w:t>
      </w:r>
    </w:p>
    <w:p w:rsidR="006A00E3" w:rsidRDefault="006A00E3" w:rsidP="00675261">
      <w:pPr>
        <w:spacing w:after="0" w:line="240" w:lineRule="auto"/>
        <w:ind w:left="567" w:right="567"/>
        <w:jc w:val="both"/>
        <w:rPr>
          <w:rFonts w:ascii="Tahoma" w:hAnsi="Tahoma" w:cs="Tahoma"/>
          <w:sz w:val="20"/>
          <w:szCs w:val="20"/>
        </w:rPr>
      </w:pPr>
    </w:p>
    <w:p w:rsidR="006A00E3" w:rsidRDefault="006A00E3" w:rsidP="00675261">
      <w:pPr>
        <w:spacing w:after="0" w:line="240" w:lineRule="auto"/>
        <w:ind w:left="567" w:right="567"/>
        <w:jc w:val="both"/>
        <w:rPr>
          <w:rFonts w:ascii="Tahoma" w:hAnsi="Tahoma" w:cs="Tahoma"/>
          <w:sz w:val="20"/>
          <w:szCs w:val="20"/>
        </w:rPr>
      </w:pPr>
      <w:bookmarkStart w:id="1" w:name="_Hlk527208604"/>
      <w:r>
        <w:rPr>
          <w:rFonts w:ascii="Tahoma" w:hAnsi="Tahoma" w:cs="Tahoma"/>
          <w:sz w:val="20"/>
          <w:szCs w:val="20"/>
        </w:rPr>
        <w:t xml:space="preserve">Los </w:t>
      </w:r>
      <w:r>
        <w:rPr>
          <w:rFonts w:ascii="Tahoma" w:hAnsi="Tahoma" w:cs="Tahoma"/>
          <w:b/>
          <w:sz w:val="20"/>
          <w:szCs w:val="20"/>
          <w:u w:val="single"/>
        </w:rPr>
        <w:t>resultados de los procesos de evaluación y los expedientes integrados al efecto, serán confidenciales</w:t>
      </w:r>
      <w:bookmarkEnd w:id="1"/>
      <w:r>
        <w:rPr>
          <w:rFonts w:ascii="Tahoma" w:hAnsi="Tahoma" w:cs="Tahoma"/>
          <w:sz w:val="20"/>
          <w:szCs w:val="20"/>
        </w:rPr>
        <w:t>, salvo en aquellos casos en que deban presentarse en procedimientos administrativos o judiciales y se mantendrán en reserva en los términos de las disposiciones jurídicas aplicables.</w:t>
      </w:r>
    </w:p>
    <w:p w:rsidR="006A00E3" w:rsidRDefault="006A00E3" w:rsidP="006A00E3">
      <w:pPr>
        <w:spacing w:after="0" w:line="276" w:lineRule="auto"/>
        <w:jc w:val="both"/>
        <w:rPr>
          <w:rFonts w:ascii="Tahoma" w:hAnsi="Tahoma" w:cs="Tahoma"/>
          <w:sz w:val="24"/>
          <w:szCs w:val="24"/>
        </w:rPr>
      </w:pPr>
    </w:p>
    <w:p w:rsidR="00B4397D" w:rsidRDefault="00B53AE9" w:rsidP="006A00E3">
      <w:pPr>
        <w:spacing w:after="0" w:line="276" w:lineRule="auto"/>
        <w:jc w:val="both"/>
        <w:rPr>
          <w:rFonts w:ascii="Tahoma" w:hAnsi="Tahoma" w:cs="Tahoma"/>
          <w:bCs/>
          <w:sz w:val="24"/>
          <w:szCs w:val="24"/>
        </w:rPr>
      </w:pPr>
      <w:r>
        <w:rPr>
          <w:rFonts w:ascii="Tahoma" w:hAnsi="Tahoma" w:cs="Tahoma"/>
          <w:bCs/>
          <w:sz w:val="24"/>
          <w:szCs w:val="24"/>
        </w:rPr>
        <w:t xml:space="preserve">De la estructura del referido artículo se advierte que este inicia </w:t>
      </w:r>
      <w:r w:rsidR="00CD0700">
        <w:rPr>
          <w:rFonts w:ascii="Tahoma" w:hAnsi="Tahoma" w:cs="Tahoma"/>
          <w:bCs/>
          <w:sz w:val="24"/>
          <w:szCs w:val="24"/>
        </w:rPr>
        <w:t>con la descripción</w:t>
      </w:r>
      <w:r>
        <w:rPr>
          <w:rFonts w:ascii="Tahoma" w:hAnsi="Tahoma" w:cs="Tahoma"/>
          <w:bCs/>
          <w:sz w:val="24"/>
          <w:szCs w:val="24"/>
        </w:rPr>
        <w:t xml:space="preserve"> de la certificación, la cual consiste en el sometimiento de los integrantes de instituciones de seguridad pública a las evaluaciones </w:t>
      </w:r>
      <w:r w:rsidR="00B4397D">
        <w:rPr>
          <w:rFonts w:ascii="Tahoma" w:hAnsi="Tahoma" w:cs="Tahoma"/>
          <w:bCs/>
          <w:sz w:val="24"/>
          <w:szCs w:val="24"/>
        </w:rPr>
        <w:t xml:space="preserve">para el ingreso, promoción y permanencia. Posteriormente, indica que </w:t>
      </w:r>
      <w:r w:rsidR="00B4397D" w:rsidRPr="00CD0700">
        <w:rPr>
          <w:rFonts w:ascii="Tahoma" w:hAnsi="Tahoma" w:cs="Tahoma"/>
          <w:bCs/>
          <w:sz w:val="24"/>
          <w:szCs w:val="24"/>
          <w:u w:val="single"/>
        </w:rPr>
        <w:t>ninguna persona podrá ingresar o permanecer en las instituciones de seguridad pública sin contar con el Certificado vigente</w:t>
      </w:r>
      <w:r w:rsidR="00B4397D">
        <w:rPr>
          <w:rFonts w:ascii="Tahoma" w:hAnsi="Tahoma" w:cs="Tahoma"/>
          <w:bCs/>
          <w:sz w:val="24"/>
          <w:szCs w:val="24"/>
        </w:rPr>
        <w:t>.</w:t>
      </w:r>
    </w:p>
    <w:p w:rsidR="00B4397D" w:rsidRDefault="00B4397D" w:rsidP="006A00E3">
      <w:pPr>
        <w:spacing w:after="0" w:line="276" w:lineRule="auto"/>
        <w:jc w:val="both"/>
        <w:rPr>
          <w:rFonts w:ascii="Tahoma" w:hAnsi="Tahoma" w:cs="Tahoma"/>
          <w:bCs/>
          <w:sz w:val="24"/>
          <w:szCs w:val="24"/>
        </w:rPr>
      </w:pPr>
    </w:p>
    <w:p w:rsidR="00B4397D" w:rsidRDefault="00CD0700" w:rsidP="006A00E3">
      <w:pPr>
        <w:spacing w:after="0" w:line="276" w:lineRule="auto"/>
        <w:jc w:val="both"/>
        <w:rPr>
          <w:rFonts w:ascii="Tahoma" w:hAnsi="Tahoma" w:cs="Tahoma"/>
          <w:bCs/>
          <w:sz w:val="24"/>
          <w:szCs w:val="24"/>
        </w:rPr>
      </w:pPr>
      <w:r>
        <w:rPr>
          <w:rFonts w:ascii="Tahoma" w:hAnsi="Tahoma" w:cs="Tahoma"/>
          <w:bCs/>
          <w:sz w:val="24"/>
          <w:szCs w:val="24"/>
        </w:rPr>
        <w:t>Asimismo</w:t>
      </w:r>
      <w:r w:rsidR="00B4397D">
        <w:rPr>
          <w:rFonts w:ascii="Tahoma" w:hAnsi="Tahoma" w:cs="Tahoma"/>
          <w:bCs/>
          <w:sz w:val="24"/>
          <w:szCs w:val="24"/>
        </w:rPr>
        <w:t xml:space="preserve">, el artículo </w:t>
      </w:r>
      <w:r w:rsidR="00B4397D" w:rsidRPr="00B4397D">
        <w:rPr>
          <w:rFonts w:ascii="Tahoma" w:hAnsi="Tahoma" w:cs="Tahoma"/>
          <w:b/>
          <w:bCs/>
          <w:sz w:val="24"/>
          <w:szCs w:val="24"/>
        </w:rPr>
        <w:t>especifica</w:t>
      </w:r>
      <w:r w:rsidR="00B4397D">
        <w:rPr>
          <w:rFonts w:ascii="Tahoma" w:hAnsi="Tahoma" w:cs="Tahoma"/>
          <w:bCs/>
          <w:sz w:val="24"/>
          <w:szCs w:val="24"/>
        </w:rPr>
        <w:t xml:space="preserve"> que </w:t>
      </w:r>
      <w:r w:rsidR="00B4397D" w:rsidRPr="00B4397D">
        <w:rPr>
          <w:rFonts w:ascii="Tahoma" w:hAnsi="Tahoma" w:cs="Tahoma"/>
          <w:b/>
          <w:bCs/>
          <w:sz w:val="24"/>
          <w:szCs w:val="24"/>
        </w:rPr>
        <w:t>las evaluaciones de control de confianza comprenderán los exámenes</w:t>
      </w:r>
      <w:r>
        <w:rPr>
          <w:rFonts w:ascii="Tahoma" w:hAnsi="Tahoma" w:cs="Tahoma"/>
          <w:b/>
          <w:bCs/>
          <w:sz w:val="24"/>
          <w:szCs w:val="24"/>
        </w:rPr>
        <w:t>:</w:t>
      </w:r>
      <w:r w:rsidR="00B4397D" w:rsidRPr="00B4397D">
        <w:rPr>
          <w:rFonts w:ascii="Tahoma" w:hAnsi="Tahoma" w:cs="Tahoma"/>
          <w:b/>
          <w:bCs/>
          <w:sz w:val="24"/>
          <w:szCs w:val="24"/>
        </w:rPr>
        <w:t xml:space="preserve"> </w:t>
      </w:r>
      <w:r>
        <w:rPr>
          <w:rFonts w:ascii="Tahoma" w:hAnsi="Tahoma" w:cs="Tahoma"/>
          <w:b/>
          <w:bCs/>
          <w:sz w:val="24"/>
          <w:szCs w:val="24"/>
        </w:rPr>
        <w:t xml:space="preserve">(I) </w:t>
      </w:r>
      <w:r w:rsidR="00B4397D" w:rsidRPr="00B4397D">
        <w:rPr>
          <w:rFonts w:ascii="Tahoma" w:hAnsi="Tahoma" w:cs="Tahoma"/>
          <w:b/>
          <w:bCs/>
          <w:sz w:val="24"/>
          <w:szCs w:val="24"/>
        </w:rPr>
        <w:t xml:space="preserve">médico, </w:t>
      </w:r>
      <w:r>
        <w:rPr>
          <w:rFonts w:ascii="Tahoma" w:hAnsi="Tahoma" w:cs="Tahoma"/>
          <w:b/>
          <w:bCs/>
          <w:sz w:val="24"/>
          <w:szCs w:val="24"/>
        </w:rPr>
        <w:t xml:space="preserve">(II) </w:t>
      </w:r>
      <w:r w:rsidR="00B4397D" w:rsidRPr="00B4397D">
        <w:rPr>
          <w:rFonts w:ascii="Tahoma" w:hAnsi="Tahoma" w:cs="Tahoma"/>
          <w:b/>
          <w:bCs/>
          <w:sz w:val="24"/>
          <w:szCs w:val="24"/>
        </w:rPr>
        <w:t xml:space="preserve">toxicológico, </w:t>
      </w:r>
      <w:r>
        <w:rPr>
          <w:rFonts w:ascii="Tahoma" w:hAnsi="Tahoma" w:cs="Tahoma"/>
          <w:b/>
          <w:bCs/>
          <w:sz w:val="24"/>
          <w:szCs w:val="24"/>
        </w:rPr>
        <w:t xml:space="preserve">(III) </w:t>
      </w:r>
      <w:r w:rsidR="00B4397D" w:rsidRPr="00B4397D">
        <w:rPr>
          <w:rFonts w:ascii="Tahoma" w:hAnsi="Tahoma" w:cs="Tahoma"/>
          <w:b/>
          <w:bCs/>
          <w:sz w:val="24"/>
          <w:szCs w:val="24"/>
        </w:rPr>
        <w:t xml:space="preserve">psicológico, </w:t>
      </w:r>
      <w:r>
        <w:rPr>
          <w:rFonts w:ascii="Tahoma" w:hAnsi="Tahoma" w:cs="Tahoma"/>
          <w:b/>
          <w:bCs/>
          <w:sz w:val="24"/>
          <w:szCs w:val="24"/>
        </w:rPr>
        <w:t xml:space="preserve">(IV) </w:t>
      </w:r>
      <w:r w:rsidR="00B4397D" w:rsidRPr="00B4397D">
        <w:rPr>
          <w:rFonts w:ascii="Tahoma" w:hAnsi="Tahoma" w:cs="Tahoma"/>
          <w:b/>
          <w:bCs/>
          <w:sz w:val="24"/>
          <w:szCs w:val="24"/>
        </w:rPr>
        <w:t xml:space="preserve">poligráfico, </w:t>
      </w:r>
      <w:r>
        <w:rPr>
          <w:rFonts w:ascii="Tahoma" w:hAnsi="Tahoma" w:cs="Tahoma"/>
          <w:b/>
          <w:bCs/>
          <w:sz w:val="24"/>
          <w:szCs w:val="24"/>
        </w:rPr>
        <w:t xml:space="preserve">(V) </w:t>
      </w:r>
      <w:r w:rsidR="00B4397D" w:rsidRPr="00B4397D">
        <w:rPr>
          <w:rFonts w:ascii="Tahoma" w:hAnsi="Tahoma" w:cs="Tahoma"/>
          <w:b/>
          <w:bCs/>
          <w:sz w:val="24"/>
          <w:szCs w:val="24"/>
        </w:rPr>
        <w:t>estudio socioeconómico</w:t>
      </w:r>
      <w:r w:rsidR="00B4397D" w:rsidRPr="00B4397D">
        <w:rPr>
          <w:rFonts w:ascii="Tahoma" w:hAnsi="Tahoma" w:cs="Tahoma"/>
          <w:bCs/>
          <w:sz w:val="24"/>
          <w:szCs w:val="24"/>
        </w:rPr>
        <w:t xml:space="preserve"> y los demás que se consideren necesarios de conformidad con la normatividad aplicable</w:t>
      </w:r>
      <w:r>
        <w:rPr>
          <w:rFonts w:ascii="Tahoma" w:hAnsi="Tahoma" w:cs="Tahoma"/>
          <w:bCs/>
          <w:sz w:val="24"/>
          <w:szCs w:val="24"/>
        </w:rPr>
        <w:t>; esto quiere decir que por lo menos la evaluación se compone de cinco exámenes.</w:t>
      </w:r>
      <w:r w:rsidR="00133FD6">
        <w:rPr>
          <w:rFonts w:ascii="Tahoma" w:hAnsi="Tahoma" w:cs="Tahoma"/>
          <w:bCs/>
          <w:sz w:val="24"/>
          <w:szCs w:val="24"/>
        </w:rPr>
        <w:t xml:space="preserve"> </w:t>
      </w:r>
      <w:r w:rsidR="00B4397D">
        <w:rPr>
          <w:rFonts w:ascii="Tahoma" w:hAnsi="Tahoma" w:cs="Tahoma"/>
          <w:bCs/>
          <w:sz w:val="24"/>
          <w:szCs w:val="24"/>
        </w:rPr>
        <w:t xml:space="preserve">Finalmente, la norma concluye </w:t>
      </w:r>
      <w:r w:rsidR="00B0531B">
        <w:rPr>
          <w:rFonts w:ascii="Tahoma" w:hAnsi="Tahoma" w:cs="Tahoma"/>
          <w:bCs/>
          <w:sz w:val="24"/>
          <w:szCs w:val="24"/>
        </w:rPr>
        <w:t>con la referencia de que</w:t>
      </w:r>
      <w:r w:rsidR="00B4397D">
        <w:rPr>
          <w:rFonts w:ascii="Tahoma" w:hAnsi="Tahoma" w:cs="Tahoma"/>
          <w:bCs/>
          <w:sz w:val="24"/>
          <w:szCs w:val="24"/>
        </w:rPr>
        <w:t xml:space="preserve"> “</w:t>
      </w:r>
      <w:r w:rsidR="00B4397D">
        <w:rPr>
          <w:rFonts w:ascii="Tahoma" w:hAnsi="Tahoma" w:cs="Tahoma"/>
          <w:b/>
          <w:bCs/>
          <w:sz w:val="24"/>
          <w:szCs w:val="24"/>
          <w:u w:val="single"/>
        </w:rPr>
        <w:t>L</w:t>
      </w:r>
      <w:r w:rsidR="00B4397D" w:rsidRPr="00B4397D">
        <w:rPr>
          <w:rFonts w:ascii="Tahoma" w:hAnsi="Tahoma" w:cs="Tahoma"/>
          <w:b/>
          <w:bCs/>
          <w:sz w:val="24"/>
          <w:szCs w:val="24"/>
          <w:u w:val="single"/>
        </w:rPr>
        <w:t>os resultados de los procesos de evaluación</w:t>
      </w:r>
      <w:r w:rsidR="00B4397D" w:rsidRPr="00B4397D">
        <w:rPr>
          <w:rFonts w:ascii="Tahoma" w:hAnsi="Tahoma" w:cs="Tahoma"/>
          <w:bCs/>
          <w:sz w:val="24"/>
          <w:szCs w:val="24"/>
        </w:rPr>
        <w:t xml:space="preserve"> y los expedientes integrados al efecto, </w:t>
      </w:r>
      <w:r w:rsidR="00B4397D" w:rsidRPr="00B4397D">
        <w:rPr>
          <w:rFonts w:ascii="Tahoma" w:hAnsi="Tahoma" w:cs="Tahoma"/>
          <w:b/>
          <w:bCs/>
          <w:sz w:val="24"/>
          <w:szCs w:val="24"/>
        </w:rPr>
        <w:t>serán confidenciales</w:t>
      </w:r>
      <w:r w:rsidR="00B4397D">
        <w:rPr>
          <w:rFonts w:ascii="Tahoma" w:hAnsi="Tahoma" w:cs="Tahoma"/>
          <w:b/>
          <w:bCs/>
          <w:sz w:val="24"/>
          <w:szCs w:val="24"/>
        </w:rPr>
        <w:t>.”</w:t>
      </w:r>
    </w:p>
    <w:p w:rsidR="00B53AE9" w:rsidRDefault="00B53AE9" w:rsidP="006A00E3">
      <w:pPr>
        <w:spacing w:after="0" w:line="276" w:lineRule="auto"/>
        <w:jc w:val="both"/>
        <w:rPr>
          <w:rFonts w:ascii="Tahoma" w:hAnsi="Tahoma" w:cs="Tahoma"/>
          <w:sz w:val="24"/>
          <w:szCs w:val="24"/>
        </w:rPr>
      </w:pPr>
    </w:p>
    <w:p w:rsidR="00B53AE9" w:rsidRPr="00E26864" w:rsidRDefault="00B4397D" w:rsidP="006A00E3">
      <w:pPr>
        <w:spacing w:after="0" w:line="276" w:lineRule="auto"/>
        <w:jc w:val="both"/>
        <w:rPr>
          <w:rFonts w:ascii="Tahoma" w:hAnsi="Tahoma" w:cs="Tahoma"/>
          <w:sz w:val="24"/>
          <w:szCs w:val="24"/>
        </w:rPr>
      </w:pPr>
      <w:r>
        <w:rPr>
          <w:rFonts w:ascii="Tahoma" w:hAnsi="Tahoma" w:cs="Tahoma"/>
          <w:sz w:val="24"/>
          <w:szCs w:val="24"/>
        </w:rPr>
        <w:t xml:space="preserve">Ahora bien, si se concatenan el penúltimo y último párrafo del referido artículo, se tiene que </w:t>
      </w:r>
      <w:r w:rsidR="00E26864">
        <w:rPr>
          <w:rFonts w:ascii="Tahoma" w:hAnsi="Tahoma" w:cs="Tahoma"/>
          <w:sz w:val="24"/>
          <w:szCs w:val="24"/>
        </w:rPr>
        <w:t>la evaluación de control de confianza comprende</w:t>
      </w:r>
      <w:r w:rsidR="00F00B15">
        <w:rPr>
          <w:rFonts w:ascii="Tahoma" w:hAnsi="Tahoma" w:cs="Tahoma"/>
          <w:sz w:val="24"/>
          <w:szCs w:val="24"/>
        </w:rPr>
        <w:t xml:space="preserve"> por lo menos</w:t>
      </w:r>
      <w:r w:rsidR="00E26864">
        <w:rPr>
          <w:rFonts w:ascii="Tahoma" w:hAnsi="Tahoma" w:cs="Tahoma"/>
          <w:sz w:val="24"/>
          <w:szCs w:val="24"/>
        </w:rPr>
        <w:t xml:space="preserve"> los exámenes: </w:t>
      </w:r>
      <w:r w:rsidR="00E26864" w:rsidRPr="00B4397D">
        <w:rPr>
          <w:rFonts w:ascii="Tahoma" w:hAnsi="Tahoma" w:cs="Tahoma"/>
          <w:b/>
          <w:bCs/>
          <w:sz w:val="24"/>
          <w:szCs w:val="24"/>
        </w:rPr>
        <w:t>médico, toxicológico, psicológico, poligráfico, estudio socioeconómico</w:t>
      </w:r>
      <w:r w:rsidR="00E26864">
        <w:rPr>
          <w:rFonts w:ascii="Tahoma" w:hAnsi="Tahoma" w:cs="Tahoma"/>
          <w:b/>
          <w:bCs/>
          <w:sz w:val="24"/>
          <w:szCs w:val="24"/>
        </w:rPr>
        <w:t xml:space="preserve">; </w:t>
      </w:r>
      <w:r w:rsidR="00E26864">
        <w:rPr>
          <w:rFonts w:ascii="Tahoma" w:hAnsi="Tahoma" w:cs="Tahoma"/>
          <w:bCs/>
          <w:sz w:val="24"/>
          <w:szCs w:val="24"/>
        </w:rPr>
        <w:t>lo cual, válidamente pu</w:t>
      </w:r>
      <w:r w:rsidR="002A43F0">
        <w:rPr>
          <w:rFonts w:ascii="Tahoma" w:hAnsi="Tahoma" w:cs="Tahoma"/>
          <w:bCs/>
          <w:sz w:val="24"/>
          <w:szCs w:val="24"/>
        </w:rPr>
        <w:t>e</w:t>
      </w:r>
      <w:r w:rsidR="00E26864">
        <w:rPr>
          <w:rFonts w:ascii="Tahoma" w:hAnsi="Tahoma" w:cs="Tahoma"/>
          <w:bCs/>
          <w:sz w:val="24"/>
          <w:szCs w:val="24"/>
        </w:rPr>
        <w:t>de interpretarse en el sentido de</w:t>
      </w:r>
      <w:r w:rsidR="007215D5">
        <w:rPr>
          <w:rFonts w:ascii="Tahoma" w:hAnsi="Tahoma" w:cs="Tahoma"/>
          <w:bCs/>
          <w:sz w:val="24"/>
          <w:szCs w:val="24"/>
        </w:rPr>
        <w:t xml:space="preserve"> que la certificación de</w:t>
      </w:r>
      <w:r w:rsidR="00E26864">
        <w:rPr>
          <w:rFonts w:ascii="Tahoma" w:hAnsi="Tahoma" w:cs="Tahoma"/>
          <w:bCs/>
          <w:sz w:val="24"/>
          <w:szCs w:val="24"/>
        </w:rPr>
        <w:t xml:space="preserve"> control de confianza se compone de</w:t>
      </w:r>
      <w:r w:rsidR="00F00B15">
        <w:rPr>
          <w:rFonts w:ascii="Tahoma" w:hAnsi="Tahoma" w:cs="Tahoma"/>
          <w:bCs/>
          <w:sz w:val="24"/>
          <w:szCs w:val="24"/>
        </w:rPr>
        <w:t xml:space="preserve"> por lo menos</w:t>
      </w:r>
      <w:r w:rsidR="00E26864">
        <w:rPr>
          <w:rFonts w:ascii="Tahoma" w:hAnsi="Tahoma" w:cs="Tahoma"/>
          <w:bCs/>
          <w:sz w:val="24"/>
          <w:szCs w:val="24"/>
        </w:rPr>
        <w:t xml:space="preserve"> cinco exámenes, o procesos que individualmente arrojan un resultado, que a su ve</w:t>
      </w:r>
      <w:r w:rsidR="007215D5">
        <w:rPr>
          <w:rFonts w:ascii="Tahoma" w:hAnsi="Tahoma" w:cs="Tahoma"/>
          <w:bCs/>
          <w:sz w:val="24"/>
          <w:szCs w:val="24"/>
        </w:rPr>
        <w:t>z, determina un</w:t>
      </w:r>
      <w:r w:rsidR="00F00B15">
        <w:rPr>
          <w:rFonts w:ascii="Tahoma" w:hAnsi="Tahoma" w:cs="Tahoma"/>
          <w:bCs/>
          <w:sz w:val="24"/>
          <w:szCs w:val="24"/>
        </w:rPr>
        <w:t xml:space="preserve"> resultado final;</w:t>
      </w:r>
      <w:r w:rsidR="007215D5">
        <w:rPr>
          <w:rFonts w:ascii="Tahoma" w:hAnsi="Tahoma" w:cs="Tahoma"/>
          <w:bCs/>
          <w:sz w:val="24"/>
          <w:szCs w:val="24"/>
        </w:rPr>
        <w:t xml:space="preserve"> la certificación.</w:t>
      </w:r>
    </w:p>
    <w:p w:rsidR="00B53AE9" w:rsidRDefault="00B53AE9" w:rsidP="006A00E3">
      <w:pPr>
        <w:spacing w:after="0" w:line="276" w:lineRule="auto"/>
        <w:jc w:val="both"/>
        <w:rPr>
          <w:rFonts w:ascii="Tahoma" w:hAnsi="Tahoma" w:cs="Tahoma"/>
          <w:sz w:val="24"/>
          <w:szCs w:val="24"/>
        </w:rPr>
      </w:pPr>
    </w:p>
    <w:p w:rsidR="00B53AE9" w:rsidRDefault="00E26864" w:rsidP="006A00E3">
      <w:pPr>
        <w:spacing w:after="0" w:line="276" w:lineRule="auto"/>
        <w:jc w:val="both"/>
        <w:rPr>
          <w:rFonts w:ascii="Tahoma" w:hAnsi="Tahoma" w:cs="Tahoma"/>
          <w:sz w:val="24"/>
          <w:szCs w:val="24"/>
        </w:rPr>
      </w:pPr>
      <w:r>
        <w:rPr>
          <w:rFonts w:ascii="Tahoma" w:hAnsi="Tahoma" w:cs="Tahoma"/>
          <w:sz w:val="24"/>
          <w:szCs w:val="24"/>
        </w:rPr>
        <w:t xml:space="preserve">De ahí que, </w:t>
      </w:r>
      <w:r w:rsidR="00F301F8">
        <w:rPr>
          <w:rFonts w:ascii="Tahoma" w:hAnsi="Tahoma" w:cs="Tahoma"/>
          <w:sz w:val="24"/>
          <w:szCs w:val="24"/>
        </w:rPr>
        <w:t xml:space="preserve">de la interpretación sistemática del artículo en comento, </w:t>
      </w:r>
      <w:r>
        <w:rPr>
          <w:rFonts w:ascii="Tahoma" w:hAnsi="Tahoma" w:cs="Tahoma"/>
          <w:sz w:val="24"/>
          <w:szCs w:val="24"/>
        </w:rPr>
        <w:t xml:space="preserve">pueda decirse también, que cuando la norma indica: </w:t>
      </w:r>
      <w:r>
        <w:rPr>
          <w:rFonts w:ascii="Tahoma" w:hAnsi="Tahoma" w:cs="Tahoma"/>
          <w:bCs/>
          <w:sz w:val="24"/>
          <w:szCs w:val="24"/>
        </w:rPr>
        <w:t>“</w:t>
      </w:r>
      <w:r>
        <w:rPr>
          <w:rFonts w:ascii="Tahoma" w:hAnsi="Tahoma" w:cs="Tahoma"/>
          <w:b/>
          <w:bCs/>
          <w:sz w:val="24"/>
          <w:szCs w:val="24"/>
          <w:u w:val="single"/>
        </w:rPr>
        <w:t>L</w:t>
      </w:r>
      <w:r w:rsidRPr="00B4397D">
        <w:rPr>
          <w:rFonts w:ascii="Tahoma" w:hAnsi="Tahoma" w:cs="Tahoma"/>
          <w:b/>
          <w:bCs/>
          <w:sz w:val="24"/>
          <w:szCs w:val="24"/>
          <w:u w:val="single"/>
        </w:rPr>
        <w:t>os resultados de los procesos de evaluación</w:t>
      </w:r>
      <w:r w:rsidRPr="00B4397D">
        <w:rPr>
          <w:rFonts w:ascii="Tahoma" w:hAnsi="Tahoma" w:cs="Tahoma"/>
          <w:bCs/>
          <w:sz w:val="24"/>
          <w:szCs w:val="24"/>
        </w:rPr>
        <w:t xml:space="preserve"> y los expedientes integrados al efecto, </w:t>
      </w:r>
      <w:r w:rsidRPr="00B4397D">
        <w:rPr>
          <w:rFonts w:ascii="Tahoma" w:hAnsi="Tahoma" w:cs="Tahoma"/>
          <w:b/>
          <w:bCs/>
          <w:sz w:val="24"/>
          <w:szCs w:val="24"/>
        </w:rPr>
        <w:t>serán confidenciales</w:t>
      </w:r>
      <w:r>
        <w:rPr>
          <w:rFonts w:ascii="Tahoma" w:hAnsi="Tahoma" w:cs="Tahoma"/>
          <w:b/>
          <w:bCs/>
          <w:sz w:val="24"/>
          <w:szCs w:val="24"/>
        </w:rPr>
        <w:t xml:space="preserve">.”, se refiere a que </w:t>
      </w:r>
      <w:r w:rsidR="00401FB2">
        <w:rPr>
          <w:rFonts w:ascii="Tahoma" w:hAnsi="Tahoma" w:cs="Tahoma"/>
          <w:b/>
          <w:bCs/>
          <w:sz w:val="24"/>
          <w:szCs w:val="24"/>
        </w:rPr>
        <w:t xml:space="preserve">únicamente </w:t>
      </w:r>
      <w:r>
        <w:rPr>
          <w:rFonts w:ascii="Tahoma" w:hAnsi="Tahoma" w:cs="Tahoma"/>
          <w:b/>
          <w:bCs/>
          <w:sz w:val="24"/>
          <w:szCs w:val="24"/>
        </w:rPr>
        <w:t xml:space="preserve">el resultado de cada </w:t>
      </w:r>
      <w:r w:rsidR="00401FB2">
        <w:rPr>
          <w:rFonts w:ascii="Tahoma" w:hAnsi="Tahoma" w:cs="Tahoma"/>
          <w:b/>
          <w:bCs/>
          <w:sz w:val="24"/>
          <w:szCs w:val="24"/>
        </w:rPr>
        <w:t>examen</w:t>
      </w:r>
      <w:r>
        <w:rPr>
          <w:rFonts w:ascii="Tahoma" w:hAnsi="Tahoma" w:cs="Tahoma"/>
          <w:b/>
          <w:bCs/>
          <w:sz w:val="24"/>
          <w:szCs w:val="24"/>
        </w:rPr>
        <w:t xml:space="preserve"> que compone la evaluación </w:t>
      </w:r>
      <w:r w:rsidR="00401FB2">
        <w:rPr>
          <w:rFonts w:ascii="Tahoma" w:hAnsi="Tahoma" w:cs="Tahoma"/>
          <w:b/>
          <w:bCs/>
          <w:sz w:val="24"/>
          <w:szCs w:val="24"/>
        </w:rPr>
        <w:t>d</w:t>
      </w:r>
      <w:r>
        <w:rPr>
          <w:rFonts w:ascii="Tahoma" w:hAnsi="Tahoma" w:cs="Tahoma"/>
          <w:b/>
          <w:bCs/>
          <w:sz w:val="24"/>
          <w:szCs w:val="24"/>
        </w:rPr>
        <w:t>e control de confianza es confidencial, no así el resultado final que determina si el integrante de una institución de seguridad pública cumple con el requisito para ingresar o permanecer en el cargo.</w:t>
      </w:r>
    </w:p>
    <w:p w:rsidR="00B53AE9" w:rsidRDefault="00B53AE9" w:rsidP="006A00E3">
      <w:pPr>
        <w:spacing w:after="0" w:line="276" w:lineRule="auto"/>
        <w:jc w:val="both"/>
        <w:rPr>
          <w:rFonts w:ascii="Tahoma" w:hAnsi="Tahoma" w:cs="Tahoma"/>
          <w:sz w:val="24"/>
          <w:szCs w:val="24"/>
        </w:rPr>
      </w:pPr>
    </w:p>
    <w:p w:rsidR="00260698" w:rsidRDefault="00E26864" w:rsidP="006A00E3">
      <w:pPr>
        <w:spacing w:after="0" w:line="276" w:lineRule="auto"/>
        <w:jc w:val="both"/>
        <w:rPr>
          <w:rFonts w:ascii="Tahoma" w:hAnsi="Tahoma" w:cs="Tahoma"/>
          <w:sz w:val="24"/>
          <w:szCs w:val="24"/>
        </w:rPr>
      </w:pPr>
      <w:r>
        <w:rPr>
          <w:rFonts w:ascii="Tahoma" w:hAnsi="Tahoma" w:cs="Tahoma"/>
          <w:sz w:val="24"/>
          <w:szCs w:val="24"/>
        </w:rPr>
        <w:t>Lo anterior</w:t>
      </w:r>
      <w:r w:rsidR="00F301F8">
        <w:rPr>
          <w:rFonts w:ascii="Tahoma" w:hAnsi="Tahoma" w:cs="Tahoma"/>
          <w:sz w:val="24"/>
          <w:szCs w:val="24"/>
        </w:rPr>
        <w:t>, tiene</w:t>
      </w:r>
      <w:r>
        <w:rPr>
          <w:rFonts w:ascii="Tahoma" w:hAnsi="Tahoma" w:cs="Tahoma"/>
          <w:sz w:val="24"/>
          <w:szCs w:val="24"/>
        </w:rPr>
        <w:t xml:space="preserve"> sentido si se razona que</w:t>
      </w:r>
      <w:r w:rsidR="00F301F8">
        <w:rPr>
          <w:rFonts w:ascii="Tahoma" w:hAnsi="Tahoma" w:cs="Tahoma"/>
          <w:sz w:val="24"/>
          <w:szCs w:val="24"/>
        </w:rPr>
        <w:t>,</w:t>
      </w:r>
      <w:r>
        <w:rPr>
          <w:rFonts w:ascii="Tahoma" w:hAnsi="Tahoma" w:cs="Tahoma"/>
          <w:sz w:val="24"/>
          <w:szCs w:val="24"/>
        </w:rPr>
        <w:t xml:space="preserve"> </w:t>
      </w:r>
      <w:r w:rsidR="00260698">
        <w:rPr>
          <w:rFonts w:ascii="Tahoma" w:hAnsi="Tahoma" w:cs="Tahoma"/>
          <w:sz w:val="24"/>
          <w:szCs w:val="24"/>
        </w:rPr>
        <w:t>los</w:t>
      </w:r>
      <w:r w:rsidR="00473EB5">
        <w:rPr>
          <w:rFonts w:ascii="Tahoma" w:hAnsi="Tahoma" w:cs="Tahoma"/>
          <w:sz w:val="24"/>
          <w:szCs w:val="24"/>
        </w:rPr>
        <w:t xml:space="preserve"> resultado</w:t>
      </w:r>
      <w:r w:rsidR="00260698">
        <w:rPr>
          <w:rFonts w:ascii="Tahoma" w:hAnsi="Tahoma" w:cs="Tahoma"/>
          <w:sz w:val="24"/>
          <w:szCs w:val="24"/>
        </w:rPr>
        <w:t>s</w:t>
      </w:r>
      <w:r w:rsidR="00473EB5">
        <w:rPr>
          <w:rFonts w:ascii="Tahoma" w:hAnsi="Tahoma" w:cs="Tahoma"/>
          <w:sz w:val="24"/>
          <w:szCs w:val="24"/>
        </w:rPr>
        <w:t xml:space="preserve"> de </w:t>
      </w:r>
      <w:r w:rsidR="00260698">
        <w:rPr>
          <w:rFonts w:ascii="Tahoma" w:hAnsi="Tahoma" w:cs="Tahoma"/>
          <w:sz w:val="24"/>
          <w:szCs w:val="24"/>
        </w:rPr>
        <w:t>los</w:t>
      </w:r>
      <w:r w:rsidR="00473EB5">
        <w:rPr>
          <w:rFonts w:ascii="Tahoma" w:hAnsi="Tahoma" w:cs="Tahoma"/>
          <w:sz w:val="24"/>
          <w:szCs w:val="24"/>
        </w:rPr>
        <w:t xml:space="preserve"> ex</w:t>
      </w:r>
      <w:r w:rsidR="00260698">
        <w:rPr>
          <w:rFonts w:ascii="Tahoma" w:hAnsi="Tahoma" w:cs="Tahoma"/>
          <w:sz w:val="24"/>
          <w:szCs w:val="24"/>
        </w:rPr>
        <w:t>á</w:t>
      </w:r>
      <w:r w:rsidR="00473EB5">
        <w:rPr>
          <w:rFonts w:ascii="Tahoma" w:hAnsi="Tahoma" w:cs="Tahoma"/>
          <w:sz w:val="24"/>
          <w:szCs w:val="24"/>
        </w:rPr>
        <w:t>men</w:t>
      </w:r>
      <w:r w:rsidR="00260698">
        <w:rPr>
          <w:rFonts w:ascii="Tahoma" w:hAnsi="Tahoma" w:cs="Tahoma"/>
          <w:sz w:val="24"/>
          <w:szCs w:val="24"/>
        </w:rPr>
        <w:t>es</w:t>
      </w:r>
      <w:r w:rsidR="00473EB5">
        <w:rPr>
          <w:rFonts w:ascii="Tahoma" w:hAnsi="Tahoma" w:cs="Tahoma"/>
          <w:sz w:val="24"/>
          <w:szCs w:val="24"/>
        </w:rPr>
        <w:t xml:space="preserve"> médico</w:t>
      </w:r>
      <w:r w:rsidR="00260698">
        <w:rPr>
          <w:rFonts w:ascii="Tahoma" w:hAnsi="Tahoma" w:cs="Tahoma"/>
          <w:sz w:val="24"/>
          <w:szCs w:val="24"/>
        </w:rPr>
        <w:t>s</w:t>
      </w:r>
      <w:r w:rsidR="00FD41A3">
        <w:rPr>
          <w:rFonts w:ascii="Tahoma" w:hAnsi="Tahoma" w:cs="Tahoma"/>
          <w:sz w:val="24"/>
          <w:szCs w:val="24"/>
        </w:rPr>
        <w:t>, toxicológicos</w:t>
      </w:r>
      <w:r w:rsidR="00FE3C2C">
        <w:rPr>
          <w:rFonts w:ascii="Tahoma" w:hAnsi="Tahoma" w:cs="Tahoma"/>
          <w:sz w:val="24"/>
          <w:szCs w:val="24"/>
        </w:rPr>
        <w:t>, de polígrafo</w:t>
      </w:r>
      <w:r w:rsidR="00260698">
        <w:rPr>
          <w:rFonts w:ascii="Tahoma" w:hAnsi="Tahoma" w:cs="Tahoma"/>
          <w:sz w:val="24"/>
          <w:szCs w:val="24"/>
        </w:rPr>
        <w:t xml:space="preserve"> y</w:t>
      </w:r>
      <w:r w:rsidR="00473EB5">
        <w:rPr>
          <w:rFonts w:ascii="Tahoma" w:hAnsi="Tahoma" w:cs="Tahoma"/>
          <w:sz w:val="24"/>
          <w:szCs w:val="24"/>
        </w:rPr>
        <w:t xml:space="preserve"> psicológico</w:t>
      </w:r>
      <w:r w:rsidR="00260698">
        <w:rPr>
          <w:rFonts w:ascii="Tahoma" w:hAnsi="Tahoma" w:cs="Tahoma"/>
          <w:sz w:val="24"/>
          <w:szCs w:val="24"/>
        </w:rPr>
        <w:t>s</w:t>
      </w:r>
      <w:r w:rsidR="00473EB5">
        <w:rPr>
          <w:rFonts w:ascii="Tahoma" w:hAnsi="Tahoma" w:cs="Tahoma"/>
          <w:sz w:val="24"/>
          <w:szCs w:val="24"/>
        </w:rPr>
        <w:t xml:space="preserve"> </w:t>
      </w:r>
      <w:r w:rsidR="00401FB2">
        <w:rPr>
          <w:rFonts w:ascii="Tahoma" w:hAnsi="Tahoma" w:cs="Tahoma"/>
          <w:sz w:val="24"/>
          <w:szCs w:val="24"/>
        </w:rPr>
        <w:t>arroja</w:t>
      </w:r>
      <w:r w:rsidR="00260698">
        <w:rPr>
          <w:rFonts w:ascii="Tahoma" w:hAnsi="Tahoma" w:cs="Tahoma"/>
          <w:sz w:val="24"/>
          <w:szCs w:val="24"/>
        </w:rPr>
        <w:t>n</w:t>
      </w:r>
      <w:r w:rsidR="00401FB2">
        <w:rPr>
          <w:rFonts w:ascii="Tahoma" w:hAnsi="Tahoma" w:cs="Tahoma"/>
          <w:sz w:val="24"/>
          <w:szCs w:val="24"/>
        </w:rPr>
        <w:t xml:space="preserve"> resultado</w:t>
      </w:r>
      <w:r w:rsidR="00260698">
        <w:rPr>
          <w:rFonts w:ascii="Tahoma" w:hAnsi="Tahoma" w:cs="Tahoma"/>
          <w:sz w:val="24"/>
          <w:szCs w:val="24"/>
        </w:rPr>
        <w:t>s</w:t>
      </w:r>
      <w:r w:rsidR="00473EB5">
        <w:rPr>
          <w:rFonts w:ascii="Tahoma" w:hAnsi="Tahoma" w:cs="Tahoma"/>
          <w:sz w:val="24"/>
          <w:szCs w:val="24"/>
        </w:rPr>
        <w:t xml:space="preserve"> </w:t>
      </w:r>
      <w:r w:rsidR="00FD41A3">
        <w:rPr>
          <w:rFonts w:ascii="Tahoma" w:hAnsi="Tahoma" w:cs="Tahoma"/>
          <w:sz w:val="24"/>
          <w:szCs w:val="24"/>
        </w:rPr>
        <w:t>de l</w:t>
      </w:r>
      <w:r w:rsidR="00260698">
        <w:rPr>
          <w:rFonts w:ascii="Tahoma" w:hAnsi="Tahoma" w:cs="Tahoma"/>
          <w:sz w:val="24"/>
          <w:szCs w:val="24"/>
        </w:rPr>
        <w:t>os</w:t>
      </w:r>
      <w:r w:rsidR="00473EB5">
        <w:rPr>
          <w:rFonts w:ascii="Tahoma" w:hAnsi="Tahoma" w:cs="Tahoma"/>
          <w:sz w:val="24"/>
          <w:szCs w:val="24"/>
        </w:rPr>
        <w:t xml:space="preserve"> estado</w:t>
      </w:r>
      <w:r w:rsidR="00260698">
        <w:rPr>
          <w:rFonts w:ascii="Tahoma" w:hAnsi="Tahoma" w:cs="Tahoma"/>
          <w:sz w:val="24"/>
          <w:szCs w:val="24"/>
        </w:rPr>
        <w:t>s</w:t>
      </w:r>
      <w:r w:rsidR="00473EB5">
        <w:rPr>
          <w:rFonts w:ascii="Tahoma" w:hAnsi="Tahoma" w:cs="Tahoma"/>
          <w:sz w:val="24"/>
          <w:szCs w:val="24"/>
        </w:rPr>
        <w:t xml:space="preserve"> de salud </w:t>
      </w:r>
      <w:r w:rsidR="00260698">
        <w:rPr>
          <w:rFonts w:ascii="Tahoma" w:hAnsi="Tahoma" w:cs="Tahoma"/>
          <w:sz w:val="24"/>
          <w:szCs w:val="24"/>
        </w:rPr>
        <w:t>y</w:t>
      </w:r>
      <w:r w:rsidR="00473EB5">
        <w:rPr>
          <w:rFonts w:ascii="Tahoma" w:hAnsi="Tahoma" w:cs="Tahoma"/>
          <w:sz w:val="24"/>
          <w:szCs w:val="24"/>
        </w:rPr>
        <w:t xml:space="preserve"> </w:t>
      </w:r>
      <w:r w:rsidR="00FE3C2C">
        <w:rPr>
          <w:rFonts w:ascii="Tahoma" w:hAnsi="Tahoma" w:cs="Tahoma"/>
          <w:sz w:val="24"/>
          <w:szCs w:val="24"/>
        </w:rPr>
        <w:t>psicológicos</w:t>
      </w:r>
      <w:r w:rsidR="00473EB5">
        <w:rPr>
          <w:rFonts w:ascii="Tahoma" w:hAnsi="Tahoma" w:cs="Tahoma"/>
          <w:sz w:val="24"/>
          <w:szCs w:val="24"/>
        </w:rPr>
        <w:t xml:space="preserve"> de </w:t>
      </w:r>
      <w:r w:rsidR="00260698">
        <w:rPr>
          <w:rFonts w:ascii="Tahoma" w:hAnsi="Tahoma" w:cs="Tahoma"/>
          <w:sz w:val="24"/>
          <w:szCs w:val="24"/>
        </w:rPr>
        <w:t>las</w:t>
      </w:r>
      <w:r w:rsidR="00473EB5">
        <w:rPr>
          <w:rFonts w:ascii="Tahoma" w:hAnsi="Tahoma" w:cs="Tahoma"/>
          <w:sz w:val="24"/>
          <w:szCs w:val="24"/>
        </w:rPr>
        <w:t xml:space="preserve"> persona</w:t>
      </w:r>
      <w:r w:rsidR="00260698">
        <w:rPr>
          <w:rFonts w:ascii="Tahoma" w:hAnsi="Tahoma" w:cs="Tahoma"/>
          <w:sz w:val="24"/>
          <w:szCs w:val="24"/>
        </w:rPr>
        <w:t>s o servidores públicos</w:t>
      </w:r>
      <w:r w:rsidR="00473EB5">
        <w:rPr>
          <w:rFonts w:ascii="Tahoma" w:hAnsi="Tahoma" w:cs="Tahoma"/>
          <w:sz w:val="24"/>
          <w:szCs w:val="24"/>
        </w:rPr>
        <w:t xml:space="preserve"> </w:t>
      </w:r>
      <w:r w:rsidR="00260698">
        <w:rPr>
          <w:rFonts w:ascii="Tahoma" w:hAnsi="Tahoma" w:cs="Tahoma"/>
          <w:sz w:val="24"/>
          <w:szCs w:val="24"/>
        </w:rPr>
        <w:t>sometidos a la certificación</w:t>
      </w:r>
      <w:r w:rsidR="00473EB5">
        <w:rPr>
          <w:rFonts w:ascii="Tahoma" w:hAnsi="Tahoma" w:cs="Tahoma"/>
          <w:sz w:val="24"/>
          <w:szCs w:val="24"/>
        </w:rPr>
        <w:t xml:space="preserve">, </w:t>
      </w:r>
      <w:r w:rsidR="00260698">
        <w:rPr>
          <w:rFonts w:ascii="Tahoma" w:hAnsi="Tahoma" w:cs="Tahoma"/>
          <w:sz w:val="24"/>
          <w:szCs w:val="24"/>
        </w:rPr>
        <w:t>información que</w:t>
      </w:r>
      <w:r w:rsidR="00473EB5">
        <w:rPr>
          <w:rFonts w:ascii="Tahoma" w:hAnsi="Tahoma" w:cs="Tahoma"/>
          <w:sz w:val="24"/>
          <w:szCs w:val="24"/>
        </w:rPr>
        <w:t xml:space="preserve"> corresponde al ámbito de su intimidad y, por tanto, a su privacidad</w:t>
      </w:r>
      <w:r w:rsidR="00260698">
        <w:rPr>
          <w:rFonts w:ascii="Tahoma" w:hAnsi="Tahoma" w:cs="Tahoma"/>
          <w:sz w:val="24"/>
          <w:szCs w:val="24"/>
        </w:rPr>
        <w:t>;</w:t>
      </w:r>
      <w:r w:rsidR="00473EB5">
        <w:rPr>
          <w:rFonts w:ascii="Tahoma" w:hAnsi="Tahoma" w:cs="Tahoma"/>
          <w:sz w:val="24"/>
          <w:szCs w:val="24"/>
        </w:rPr>
        <w:t xml:space="preserve"> por lo que bien pueden considerarse como datos confidenciales</w:t>
      </w:r>
      <w:r w:rsidR="00260698">
        <w:rPr>
          <w:rFonts w:ascii="Tahoma" w:hAnsi="Tahoma" w:cs="Tahoma"/>
          <w:sz w:val="24"/>
          <w:szCs w:val="24"/>
        </w:rPr>
        <w:t xml:space="preserve"> de carácter sensible en términos del artículo 4°, fracción XII de la Ley de Protección de Datos Personales en Posesión de Sujetos Obligados del Estado de México y Municipios, el cual dispone que, son sensibles los datos personales referentes a la esfera del titular, cuya utilización indebida conlleve un riesgo grave; lo que puede traducirse en la información más íntima de una persona o aquella que genere discriminación, como los estados de salud y mentales.</w:t>
      </w:r>
      <w:r w:rsidR="00FE3C2C">
        <w:rPr>
          <w:rFonts w:ascii="Tahoma" w:hAnsi="Tahoma" w:cs="Tahoma"/>
          <w:sz w:val="24"/>
          <w:szCs w:val="24"/>
        </w:rPr>
        <w:t xml:space="preserve"> </w:t>
      </w:r>
    </w:p>
    <w:p w:rsidR="00FE3C2C" w:rsidRDefault="00FE3C2C" w:rsidP="006A00E3">
      <w:pPr>
        <w:spacing w:after="0" w:line="276" w:lineRule="auto"/>
        <w:jc w:val="both"/>
        <w:rPr>
          <w:rFonts w:ascii="Tahoma" w:hAnsi="Tahoma" w:cs="Tahoma"/>
          <w:sz w:val="24"/>
          <w:szCs w:val="24"/>
        </w:rPr>
      </w:pPr>
    </w:p>
    <w:p w:rsidR="00FE3C2C" w:rsidRDefault="00FE3C2C" w:rsidP="006A00E3">
      <w:pPr>
        <w:spacing w:after="0" w:line="276" w:lineRule="auto"/>
        <w:jc w:val="both"/>
        <w:rPr>
          <w:rFonts w:ascii="Tahoma" w:hAnsi="Tahoma" w:cs="Tahoma"/>
          <w:sz w:val="24"/>
          <w:szCs w:val="24"/>
        </w:rPr>
      </w:pPr>
      <w:r>
        <w:rPr>
          <w:rFonts w:ascii="Tahoma" w:hAnsi="Tahoma" w:cs="Tahoma"/>
          <w:sz w:val="24"/>
          <w:szCs w:val="24"/>
        </w:rPr>
        <w:t xml:space="preserve">Por lo que refiere al resultado del estudio socioeconómico, se trata de </w:t>
      </w:r>
      <w:r w:rsidR="000B264F">
        <w:rPr>
          <w:rFonts w:ascii="Tahoma" w:hAnsi="Tahoma" w:cs="Tahoma"/>
          <w:sz w:val="24"/>
          <w:szCs w:val="24"/>
        </w:rPr>
        <w:t xml:space="preserve">datos patrimoniales que </w:t>
      </w:r>
      <w:r>
        <w:rPr>
          <w:rFonts w:ascii="Tahoma" w:hAnsi="Tahoma" w:cs="Tahoma"/>
          <w:sz w:val="24"/>
          <w:szCs w:val="24"/>
        </w:rPr>
        <w:t>corresponde</w:t>
      </w:r>
      <w:r w:rsidR="000B264F">
        <w:rPr>
          <w:rFonts w:ascii="Tahoma" w:hAnsi="Tahoma" w:cs="Tahoma"/>
          <w:sz w:val="24"/>
          <w:szCs w:val="24"/>
        </w:rPr>
        <w:t>n</w:t>
      </w:r>
      <w:r>
        <w:rPr>
          <w:rFonts w:ascii="Tahoma" w:hAnsi="Tahoma" w:cs="Tahoma"/>
          <w:sz w:val="24"/>
          <w:szCs w:val="24"/>
        </w:rPr>
        <w:t xml:space="preserve"> al  ámbito de la vida privada de las personas y no reviste interés público</w:t>
      </w:r>
      <w:r w:rsidR="000B264F">
        <w:rPr>
          <w:rFonts w:ascii="Tahoma" w:hAnsi="Tahoma" w:cs="Tahoma"/>
          <w:sz w:val="24"/>
          <w:szCs w:val="24"/>
        </w:rPr>
        <w:t>, principalmente porque el análisis socioeconómico se aborda desde una óptica muy particular, relacionada con la evolución patrimonial del evaluado, en función de sus actividades</w:t>
      </w:r>
      <w:r>
        <w:rPr>
          <w:rFonts w:ascii="Tahoma" w:hAnsi="Tahoma" w:cs="Tahoma"/>
          <w:sz w:val="24"/>
          <w:szCs w:val="24"/>
        </w:rPr>
        <w:t>. Ahora bien, como refiere el mismo artículo, las evaluaciones de control de confianza se pueden realizar en tres momentos: necesariamente al ingreso, eso quiere decir que aquellas personas que presentaron la evaluación y su resultado fue No Aprobado, no son servidores públicos, por lo que, tanto su nombre, evaluaciones individuales y resultado sí configura la clasificación de información confidencial descrito en el artículo 143, fracción I de la Ley de Transparencia y Acceso a la Información Pública del Estado de  México y Municipios.</w:t>
      </w:r>
    </w:p>
    <w:p w:rsidR="00FE3C2C" w:rsidRDefault="00FE3C2C" w:rsidP="006A00E3">
      <w:pPr>
        <w:spacing w:after="0" w:line="276" w:lineRule="auto"/>
        <w:jc w:val="both"/>
        <w:rPr>
          <w:rFonts w:ascii="Tahoma" w:hAnsi="Tahoma" w:cs="Tahoma"/>
          <w:sz w:val="24"/>
          <w:szCs w:val="24"/>
        </w:rPr>
      </w:pPr>
    </w:p>
    <w:p w:rsidR="00FE3C2C" w:rsidRPr="00FE3C2C" w:rsidRDefault="00FE3C2C" w:rsidP="006A00E3">
      <w:pPr>
        <w:spacing w:after="0" w:line="276" w:lineRule="auto"/>
        <w:jc w:val="both"/>
        <w:rPr>
          <w:rFonts w:ascii="Tahoma" w:hAnsi="Tahoma" w:cs="Tahoma"/>
          <w:sz w:val="24"/>
          <w:szCs w:val="24"/>
        </w:rPr>
      </w:pPr>
      <w:r>
        <w:rPr>
          <w:rFonts w:ascii="Tahoma" w:hAnsi="Tahoma" w:cs="Tahoma"/>
          <w:sz w:val="24"/>
          <w:szCs w:val="24"/>
        </w:rPr>
        <w:lastRenderedPageBreak/>
        <w:t xml:space="preserve">En este orden de ideas, aquellas personas que accedieron a la plaza, se advierte que necesariamente su resultado debió ser el de Aprobado, en virtud de que es requisito </w:t>
      </w:r>
      <w:r>
        <w:rPr>
          <w:rFonts w:ascii="Tahoma" w:hAnsi="Tahoma" w:cs="Tahoma"/>
          <w:i/>
          <w:sz w:val="24"/>
          <w:szCs w:val="24"/>
        </w:rPr>
        <w:t>sine qua non</w:t>
      </w:r>
      <w:r>
        <w:rPr>
          <w:rFonts w:ascii="Tahoma" w:hAnsi="Tahoma" w:cs="Tahoma"/>
          <w:sz w:val="24"/>
          <w:szCs w:val="24"/>
        </w:rPr>
        <w:t xml:space="preserve">, acreditar la certificación para ingresar a instituciones de seguridad pública. Una vez en el cargo, la permanencia y </w:t>
      </w:r>
      <w:r w:rsidR="00680A51">
        <w:rPr>
          <w:rFonts w:ascii="Tahoma" w:hAnsi="Tahoma" w:cs="Tahoma"/>
          <w:sz w:val="24"/>
          <w:szCs w:val="24"/>
        </w:rPr>
        <w:t>promoción, también dependen de acreditar favorablemente la certificación, por lo que es dable afirmar que cualquier persona que ingrese, permanezca o haya sido promovida debe tener como resultado de la certificación “Aprobado”.</w:t>
      </w:r>
    </w:p>
    <w:p w:rsidR="00FE3C2C" w:rsidRDefault="00FE3C2C" w:rsidP="006A00E3">
      <w:pPr>
        <w:spacing w:after="0" w:line="276" w:lineRule="auto"/>
        <w:jc w:val="both"/>
        <w:rPr>
          <w:rFonts w:ascii="Tahoma" w:hAnsi="Tahoma" w:cs="Tahoma"/>
          <w:sz w:val="24"/>
          <w:szCs w:val="24"/>
        </w:rPr>
      </w:pPr>
    </w:p>
    <w:p w:rsidR="00B53AE9" w:rsidRDefault="00FE3C2C" w:rsidP="006A00E3">
      <w:pPr>
        <w:spacing w:after="0" w:line="276" w:lineRule="auto"/>
        <w:jc w:val="both"/>
        <w:rPr>
          <w:rFonts w:ascii="Tahoma" w:hAnsi="Tahoma" w:cs="Tahoma"/>
          <w:sz w:val="24"/>
          <w:szCs w:val="24"/>
        </w:rPr>
      </w:pPr>
      <w:r>
        <w:rPr>
          <w:rFonts w:ascii="Tahoma" w:hAnsi="Tahoma" w:cs="Tahoma"/>
          <w:sz w:val="24"/>
          <w:szCs w:val="24"/>
        </w:rPr>
        <w:t>De lo anterior, debe tenerse presente</w:t>
      </w:r>
      <w:r w:rsidR="00401FB2">
        <w:rPr>
          <w:rFonts w:ascii="Tahoma" w:hAnsi="Tahoma" w:cs="Tahoma"/>
          <w:sz w:val="24"/>
          <w:szCs w:val="24"/>
        </w:rPr>
        <w:t xml:space="preserve"> que </w:t>
      </w:r>
      <w:r w:rsidR="00473EB5">
        <w:rPr>
          <w:rFonts w:ascii="Tahoma" w:hAnsi="Tahoma" w:cs="Tahoma"/>
          <w:sz w:val="24"/>
          <w:szCs w:val="24"/>
        </w:rPr>
        <w:t>el resultado global de la evaluación de control de confianza</w:t>
      </w:r>
      <w:r w:rsidR="00401FB2">
        <w:rPr>
          <w:rFonts w:ascii="Tahoma" w:hAnsi="Tahoma" w:cs="Tahoma"/>
          <w:sz w:val="24"/>
          <w:szCs w:val="24"/>
        </w:rPr>
        <w:t xml:space="preserve"> (</w:t>
      </w:r>
      <w:r>
        <w:rPr>
          <w:rFonts w:ascii="Tahoma" w:hAnsi="Tahoma" w:cs="Tahoma"/>
          <w:sz w:val="24"/>
          <w:szCs w:val="24"/>
        </w:rPr>
        <w:t>A</w:t>
      </w:r>
      <w:r w:rsidR="00401FB2">
        <w:rPr>
          <w:rFonts w:ascii="Tahoma" w:hAnsi="Tahoma" w:cs="Tahoma"/>
          <w:sz w:val="24"/>
          <w:szCs w:val="24"/>
        </w:rPr>
        <w:t>probado</w:t>
      </w:r>
      <w:r>
        <w:rPr>
          <w:rFonts w:ascii="Tahoma" w:hAnsi="Tahoma" w:cs="Tahoma"/>
          <w:sz w:val="24"/>
          <w:szCs w:val="24"/>
        </w:rPr>
        <w:t xml:space="preserve"> o N</w:t>
      </w:r>
      <w:r w:rsidR="00401FB2">
        <w:rPr>
          <w:rFonts w:ascii="Tahoma" w:hAnsi="Tahoma" w:cs="Tahoma"/>
          <w:sz w:val="24"/>
          <w:szCs w:val="24"/>
        </w:rPr>
        <w:t>o aprobado)</w:t>
      </w:r>
      <w:r w:rsidR="00473EB5">
        <w:rPr>
          <w:rFonts w:ascii="Tahoma" w:hAnsi="Tahoma" w:cs="Tahoma"/>
          <w:sz w:val="24"/>
          <w:szCs w:val="24"/>
        </w:rPr>
        <w:t>, no permite conocer el estado de salud o emocional de una persona,</w:t>
      </w:r>
      <w:r w:rsidR="00DF45D1">
        <w:rPr>
          <w:rFonts w:ascii="Tahoma" w:hAnsi="Tahoma" w:cs="Tahoma"/>
          <w:sz w:val="24"/>
          <w:szCs w:val="24"/>
        </w:rPr>
        <w:t xml:space="preserve"> así como tampoco información sobre su capacidad económica;</w:t>
      </w:r>
      <w:r w:rsidR="00473EB5">
        <w:rPr>
          <w:rFonts w:ascii="Tahoma" w:hAnsi="Tahoma" w:cs="Tahoma"/>
          <w:sz w:val="24"/>
          <w:szCs w:val="24"/>
        </w:rPr>
        <w:t xml:space="preserve"> sino únicamente si esta cumple o no con el requisito de aprobar la prueba para ingresar o permanecer en el cargo</w:t>
      </w:r>
      <w:r w:rsidR="00DF45D1">
        <w:rPr>
          <w:rFonts w:ascii="Tahoma" w:hAnsi="Tahoma" w:cs="Tahoma"/>
          <w:sz w:val="24"/>
          <w:szCs w:val="24"/>
        </w:rPr>
        <w:t xml:space="preserve"> o ser beneficiaría de una promoción</w:t>
      </w:r>
      <w:r w:rsidR="00401FB2">
        <w:rPr>
          <w:rFonts w:ascii="Tahoma" w:hAnsi="Tahoma" w:cs="Tahoma"/>
          <w:sz w:val="24"/>
          <w:szCs w:val="24"/>
        </w:rPr>
        <w:t>; pues así la norma en comento resulta armónica, ya que ella misma dispone que ninguna persona podrá ingresar o permanecer en el cargo sin aprobar la evaluación.</w:t>
      </w:r>
    </w:p>
    <w:p w:rsidR="00C215BB" w:rsidRDefault="00C215BB" w:rsidP="006A00E3">
      <w:pPr>
        <w:spacing w:after="0" w:line="276" w:lineRule="auto"/>
        <w:jc w:val="both"/>
        <w:rPr>
          <w:rFonts w:ascii="Tahoma" w:hAnsi="Tahoma" w:cs="Tahoma"/>
          <w:sz w:val="24"/>
          <w:szCs w:val="24"/>
        </w:rPr>
      </w:pPr>
    </w:p>
    <w:p w:rsidR="00473EB5" w:rsidRDefault="00473EB5" w:rsidP="00401FB2">
      <w:pPr>
        <w:spacing w:after="0" w:line="276" w:lineRule="auto"/>
        <w:jc w:val="both"/>
        <w:rPr>
          <w:rFonts w:ascii="Tahoma" w:hAnsi="Tahoma" w:cs="Tahoma"/>
          <w:sz w:val="24"/>
          <w:szCs w:val="24"/>
        </w:rPr>
      </w:pPr>
      <w:r>
        <w:rPr>
          <w:rFonts w:ascii="Tahoma" w:hAnsi="Tahoma" w:cs="Tahoma"/>
          <w:sz w:val="24"/>
          <w:szCs w:val="24"/>
        </w:rPr>
        <w:t xml:space="preserve">Visto desde esa </w:t>
      </w:r>
      <w:r w:rsidR="00401FB2">
        <w:rPr>
          <w:rFonts w:ascii="Tahoma" w:hAnsi="Tahoma" w:cs="Tahoma"/>
          <w:sz w:val="24"/>
          <w:szCs w:val="24"/>
        </w:rPr>
        <w:t>forma armónica</w:t>
      </w:r>
      <w:r>
        <w:rPr>
          <w:rFonts w:ascii="Tahoma" w:hAnsi="Tahoma" w:cs="Tahoma"/>
          <w:sz w:val="24"/>
          <w:szCs w:val="24"/>
        </w:rPr>
        <w:t xml:space="preserve">, el artículo 109 de la Ley de Seguridad del Estado de México, resulta totalmente acorde con los principios </w:t>
      </w:r>
      <w:r w:rsidR="00401FB2">
        <w:rPr>
          <w:rFonts w:ascii="Tahoma" w:hAnsi="Tahoma" w:cs="Tahoma"/>
          <w:sz w:val="24"/>
          <w:szCs w:val="24"/>
        </w:rPr>
        <w:t>establecidos por el artículo 21 de la Constitución Política de los Estados Unidos Mexicanos, en el sentido de que l</w:t>
      </w:r>
      <w:r w:rsidR="00401FB2" w:rsidRPr="00401FB2">
        <w:rPr>
          <w:rFonts w:ascii="Tahoma" w:hAnsi="Tahoma" w:cs="Tahoma"/>
          <w:sz w:val="24"/>
          <w:szCs w:val="24"/>
        </w:rPr>
        <w:t xml:space="preserve">a actuación de las instituciones de seguridad pública se regirá por los principios de legalidad, objetividad, eficiencia, profesionalismo, honradez y respeto a los derechos humanos reconocidos en </w:t>
      </w:r>
      <w:r w:rsidR="00401FB2">
        <w:rPr>
          <w:rFonts w:ascii="Tahoma" w:hAnsi="Tahoma" w:cs="Tahoma"/>
          <w:sz w:val="24"/>
          <w:szCs w:val="24"/>
        </w:rPr>
        <w:t>la</w:t>
      </w:r>
      <w:r w:rsidR="00401FB2" w:rsidRPr="00401FB2">
        <w:rPr>
          <w:rFonts w:ascii="Tahoma" w:hAnsi="Tahoma" w:cs="Tahoma"/>
          <w:sz w:val="24"/>
          <w:szCs w:val="24"/>
        </w:rPr>
        <w:t xml:space="preserve"> Constitución</w:t>
      </w:r>
      <w:r w:rsidR="00401FB2">
        <w:rPr>
          <w:rFonts w:ascii="Tahoma" w:hAnsi="Tahoma" w:cs="Tahoma"/>
          <w:sz w:val="24"/>
          <w:szCs w:val="24"/>
        </w:rPr>
        <w:t xml:space="preserve">, así como con </w:t>
      </w:r>
      <w:r w:rsidR="00401FB2" w:rsidRPr="00401FB2">
        <w:rPr>
          <w:rFonts w:ascii="Tahoma" w:hAnsi="Tahoma" w:cs="Tahoma"/>
          <w:sz w:val="24"/>
          <w:szCs w:val="24"/>
        </w:rPr>
        <w:t>el Modelo Nacional de Evaluación</w:t>
      </w:r>
      <w:r w:rsidR="00C215BB">
        <w:rPr>
          <w:rFonts w:ascii="Tahoma" w:hAnsi="Tahoma" w:cs="Tahoma"/>
          <w:sz w:val="24"/>
          <w:szCs w:val="24"/>
        </w:rPr>
        <w:t xml:space="preserve"> (Acuerdo 3/XXV/08 de la XXV S</w:t>
      </w:r>
      <w:r w:rsidR="00C215BB" w:rsidRPr="00C215BB">
        <w:rPr>
          <w:rFonts w:ascii="Tahoma" w:hAnsi="Tahoma" w:cs="Tahoma"/>
          <w:sz w:val="24"/>
          <w:szCs w:val="24"/>
        </w:rPr>
        <w:t>esión del Consejo Nacional de Seguridad Pública celebrada el 28 de noviembre de 2008. Diario Oficial de la Federación, 31 de diciembre de 2008. Disponible</w:t>
      </w:r>
      <w:r w:rsidR="00C215BB">
        <w:rPr>
          <w:rFonts w:ascii="Tahoma" w:hAnsi="Tahoma" w:cs="Tahoma"/>
          <w:sz w:val="24"/>
          <w:szCs w:val="24"/>
        </w:rPr>
        <w:t xml:space="preserve"> para su consulta</w:t>
      </w:r>
      <w:r w:rsidR="00C215BB" w:rsidRPr="00C215BB">
        <w:rPr>
          <w:rFonts w:ascii="Tahoma" w:hAnsi="Tahoma" w:cs="Tahoma"/>
          <w:sz w:val="24"/>
          <w:szCs w:val="24"/>
        </w:rPr>
        <w:t xml:space="preserve"> en</w:t>
      </w:r>
      <w:r w:rsidR="00C215BB">
        <w:rPr>
          <w:rFonts w:ascii="Tahoma" w:hAnsi="Tahoma" w:cs="Tahoma"/>
          <w:sz w:val="24"/>
          <w:szCs w:val="24"/>
        </w:rPr>
        <w:t xml:space="preserve"> la dirección electrónica</w:t>
      </w:r>
      <w:r w:rsidR="00C215BB" w:rsidRPr="00C215BB">
        <w:rPr>
          <w:rFonts w:ascii="Tahoma" w:hAnsi="Tahoma" w:cs="Tahoma"/>
          <w:sz w:val="24"/>
          <w:szCs w:val="24"/>
        </w:rPr>
        <w:t xml:space="preserve">  </w:t>
      </w:r>
      <w:hyperlink r:id="rId8" w:history="1">
        <w:r w:rsidR="00C215BB" w:rsidRPr="007501E5">
          <w:rPr>
            <w:rStyle w:val="Hipervnculo"/>
            <w:rFonts w:ascii="Tahoma" w:hAnsi="Tahoma" w:cs="Tahoma"/>
            <w:sz w:val="24"/>
            <w:szCs w:val="24"/>
          </w:rPr>
          <w:t>http://dof.gob.mx/nota_detalle.php?codigo=5076624&amp;fecha=31/12/2008</w:t>
        </w:r>
      </w:hyperlink>
      <w:r w:rsidR="00C215BB">
        <w:rPr>
          <w:rFonts w:ascii="Tahoma" w:hAnsi="Tahoma" w:cs="Tahoma"/>
          <w:sz w:val="24"/>
          <w:szCs w:val="24"/>
        </w:rPr>
        <w:t>)</w:t>
      </w:r>
      <w:r w:rsidR="00401FB2" w:rsidRPr="00401FB2">
        <w:rPr>
          <w:rFonts w:ascii="Tahoma" w:hAnsi="Tahoma" w:cs="Tahoma"/>
          <w:sz w:val="24"/>
          <w:szCs w:val="24"/>
        </w:rPr>
        <w:t xml:space="preserve">, </w:t>
      </w:r>
      <w:r w:rsidR="00196AE8">
        <w:rPr>
          <w:rFonts w:ascii="Tahoma" w:hAnsi="Tahoma" w:cs="Tahoma"/>
          <w:sz w:val="24"/>
          <w:szCs w:val="24"/>
        </w:rPr>
        <w:t xml:space="preserve">el cual establece que </w:t>
      </w:r>
      <w:r w:rsidR="00401FB2" w:rsidRPr="00401FB2">
        <w:rPr>
          <w:rFonts w:ascii="Tahoma" w:hAnsi="Tahoma" w:cs="Tahoma"/>
          <w:sz w:val="24"/>
          <w:szCs w:val="24"/>
        </w:rPr>
        <w:t>la aplicación de las evaluaciones no sólo est</w:t>
      </w:r>
      <w:r w:rsidR="00196AE8">
        <w:rPr>
          <w:rFonts w:ascii="Tahoma" w:hAnsi="Tahoma" w:cs="Tahoma"/>
          <w:sz w:val="24"/>
          <w:szCs w:val="24"/>
        </w:rPr>
        <w:t>á</w:t>
      </w:r>
      <w:r w:rsidR="00401FB2" w:rsidRPr="00401FB2">
        <w:rPr>
          <w:rFonts w:ascii="Tahoma" w:hAnsi="Tahoma" w:cs="Tahoma"/>
          <w:sz w:val="24"/>
          <w:szCs w:val="24"/>
        </w:rPr>
        <w:t xml:space="preserve"> diseñada para depurar a los malos elementos, sino</w:t>
      </w:r>
      <w:r w:rsidR="00196AE8">
        <w:rPr>
          <w:rFonts w:ascii="Tahoma" w:hAnsi="Tahoma" w:cs="Tahoma"/>
          <w:sz w:val="24"/>
          <w:szCs w:val="24"/>
        </w:rPr>
        <w:t xml:space="preserve">, </w:t>
      </w:r>
      <w:r w:rsidR="00401FB2" w:rsidRPr="00401FB2">
        <w:rPr>
          <w:rFonts w:ascii="Tahoma" w:hAnsi="Tahoma" w:cs="Tahoma"/>
          <w:sz w:val="24"/>
          <w:szCs w:val="24"/>
        </w:rPr>
        <w:t>principalmente, para fortalecer a los cuerpos policiales mediante un esquema de desarrollo y profesionalización basado en criterios objetivos de evaluación y promoción</w:t>
      </w:r>
      <w:r w:rsidR="00196AE8">
        <w:rPr>
          <w:rFonts w:ascii="Tahoma" w:hAnsi="Tahoma" w:cs="Tahoma"/>
          <w:sz w:val="24"/>
          <w:szCs w:val="24"/>
        </w:rPr>
        <w:t>.</w:t>
      </w:r>
    </w:p>
    <w:p w:rsidR="00473EB5" w:rsidRDefault="00473EB5" w:rsidP="006A00E3">
      <w:pPr>
        <w:spacing w:after="0" w:line="276" w:lineRule="auto"/>
        <w:jc w:val="both"/>
        <w:rPr>
          <w:rFonts w:ascii="Tahoma" w:hAnsi="Tahoma" w:cs="Tahoma"/>
          <w:sz w:val="24"/>
          <w:szCs w:val="24"/>
        </w:rPr>
      </w:pPr>
    </w:p>
    <w:p w:rsidR="00196AE8" w:rsidRDefault="00FF3A25" w:rsidP="006A00E3">
      <w:pPr>
        <w:spacing w:after="0" w:line="276" w:lineRule="auto"/>
        <w:jc w:val="both"/>
        <w:rPr>
          <w:rFonts w:ascii="Tahoma" w:hAnsi="Tahoma" w:cs="Tahoma"/>
          <w:sz w:val="24"/>
          <w:szCs w:val="24"/>
        </w:rPr>
      </w:pPr>
      <w:r>
        <w:rPr>
          <w:rFonts w:ascii="Tahoma" w:hAnsi="Tahoma" w:cs="Tahoma"/>
          <w:sz w:val="24"/>
          <w:szCs w:val="24"/>
        </w:rPr>
        <w:t>En todo caso</w:t>
      </w:r>
      <w:r w:rsidR="00196AE8">
        <w:rPr>
          <w:rFonts w:ascii="Tahoma" w:hAnsi="Tahoma" w:cs="Tahoma"/>
          <w:sz w:val="24"/>
          <w:szCs w:val="24"/>
        </w:rPr>
        <w:t xml:space="preserve">, </w:t>
      </w:r>
      <w:r>
        <w:rPr>
          <w:rFonts w:ascii="Tahoma" w:hAnsi="Tahoma" w:cs="Tahoma"/>
          <w:sz w:val="24"/>
          <w:szCs w:val="24"/>
        </w:rPr>
        <w:t>a</w:t>
      </w:r>
      <w:r w:rsidR="00196AE8">
        <w:rPr>
          <w:rFonts w:ascii="Tahoma" w:hAnsi="Tahoma" w:cs="Tahoma"/>
          <w:sz w:val="24"/>
          <w:szCs w:val="24"/>
        </w:rPr>
        <w:t xml:space="preserve">l interpretar </w:t>
      </w:r>
      <w:r w:rsidR="0094577A">
        <w:rPr>
          <w:rFonts w:ascii="Tahoma" w:hAnsi="Tahoma" w:cs="Tahoma"/>
          <w:sz w:val="24"/>
          <w:szCs w:val="24"/>
        </w:rPr>
        <w:t xml:space="preserve">el artículo 109 de la </w:t>
      </w:r>
      <w:r w:rsidR="0094577A">
        <w:rPr>
          <w:rFonts w:ascii="Tahoma" w:hAnsi="Tahoma" w:cs="Tahoma"/>
          <w:sz w:val="24"/>
          <w:szCs w:val="24"/>
          <w:lang w:val="es-MX"/>
        </w:rPr>
        <w:t>Ley de Seguridad del Estado de México</w:t>
      </w:r>
      <w:r w:rsidR="00196AE8">
        <w:rPr>
          <w:rFonts w:ascii="Tahoma" w:hAnsi="Tahoma" w:cs="Tahoma"/>
          <w:sz w:val="24"/>
          <w:szCs w:val="24"/>
        </w:rPr>
        <w:t>,</w:t>
      </w:r>
      <w:r w:rsidR="0094577A">
        <w:rPr>
          <w:rFonts w:ascii="Tahoma" w:hAnsi="Tahoma" w:cs="Tahoma"/>
          <w:sz w:val="24"/>
          <w:szCs w:val="24"/>
        </w:rPr>
        <w:t xml:space="preserve"> en el sentido de que, </w:t>
      </w:r>
      <w:r w:rsidR="00196AE8">
        <w:rPr>
          <w:rFonts w:ascii="Tahoma" w:hAnsi="Tahoma" w:cs="Tahoma"/>
          <w:sz w:val="24"/>
          <w:szCs w:val="24"/>
        </w:rPr>
        <w:t>únic</w:t>
      </w:r>
      <w:r w:rsidR="0094577A">
        <w:rPr>
          <w:rFonts w:ascii="Tahoma" w:hAnsi="Tahoma" w:cs="Tahoma"/>
          <w:sz w:val="24"/>
          <w:szCs w:val="24"/>
        </w:rPr>
        <w:t xml:space="preserve">amente el resultado individual </w:t>
      </w:r>
      <w:r w:rsidR="00196AE8">
        <w:rPr>
          <w:rFonts w:ascii="Tahoma" w:hAnsi="Tahoma" w:cs="Tahoma"/>
          <w:sz w:val="24"/>
          <w:szCs w:val="24"/>
        </w:rPr>
        <w:t xml:space="preserve">de </w:t>
      </w:r>
      <w:r w:rsidR="0094577A">
        <w:rPr>
          <w:rFonts w:ascii="Tahoma" w:hAnsi="Tahoma" w:cs="Tahoma"/>
          <w:sz w:val="24"/>
          <w:szCs w:val="24"/>
        </w:rPr>
        <w:t xml:space="preserve"> cada uno de </w:t>
      </w:r>
      <w:r w:rsidR="00196AE8">
        <w:rPr>
          <w:rFonts w:ascii="Tahoma" w:hAnsi="Tahoma" w:cs="Tahoma"/>
          <w:sz w:val="24"/>
          <w:szCs w:val="24"/>
        </w:rPr>
        <w:t xml:space="preserve">los </w:t>
      </w:r>
      <w:r w:rsidR="00196AE8">
        <w:rPr>
          <w:rFonts w:ascii="Tahoma" w:hAnsi="Tahoma" w:cs="Tahoma"/>
          <w:sz w:val="24"/>
          <w:szCs w:val="24"/>
        </w:rPr>
        <w:lastRenderedPageBreak/>
        <w:t xml:space="preserve">cinco exámenes que componen la evaluación de control </w:t>
      </w:r>
      <w:r w:rsidR="005D03E3">
        <w:rPr>
          <w:rFonts w:ascii="Tahoma" w:hAnsi="Tahoma" w:cs="Tahoma"/>
          <w:sz w:val="24"/>
          <w:szCs w:val="24"/>
        </w:rPr>
        <w:t>de confianza son confidenciales</w:t>
      </w:r>
      <w:r w:rsidR="00196AE8">
        <w:rPr>
          <w:rFonts w:ascii="Tahoma" w:hAnsi="Tahoma" w:cs="Tahoma"/>
          <w:sz w:val="24"/>
          <w:szCs w:val="24"/>
        </w:rPr>
        <w:t xml:space="preserve"> y</w:t>
      </w:r>
      <w:r w:rsidR="005D03E3">
        <w:rPr>
          <w:rFonts w:ascii="Tahoma" w:hAnsi="Tahoma" w:cs="Tahoma"/>
          <w:sz w:val="24"/>
          <w:szCs w:val="24"/>
        </w:rPr>
        <w:t>,</w:t>
      </w:r>
      <w:r w:rsidR="00196AE8">
        <w:rPr>
          <w:rFonts w:ascii="Tahoma" w:hAnsi="Tahoma" w:cs="Tahoma"/>
          <w:sz w:val="24"/>
          <w:szCs w:val="24"/>
        </w:rPr>
        <w:t xml:space="preserve"> el resultado global de aprobado o no aprobado es público, resulta acorde con el fin constitucional y del modelo nacional de evaluación, pues ello permite que la ciudadanía tenga certeza sobre la </w:t>
      </w:r>
      <w:r w:rsidR="00196AE8" w:rsidRPr="00401FB2">
        <w:rPr>
          <w:rFonts w:ascii="Tahoma" w:hAnsi="Tahoma" w:cs="Tahoma"/>
          <w:sz w:val="24"/>
          <w:szCs w:val="24"/>
        </w:rPr>
        <w:t>legalidad, objetividad, eficiencia, profesionalismo, honradez y respeto a los derechos humanos</w:t>
      </w:r>
      <w:r w:rsidR="00196AE8">
        <w:rPr>
          <w:rFonts w:ascii="Tahoma" w:hAnsi="Tahoma" w:cs="Tahoma"/>
          <w:sz w:val="24"/>
          <w:szCs w:val="24"/>
        </w:rPr>
        <w:t xml:space="preserve"> por parte de los integrantes de las Instituciones de Seguridad Pública y cuente con </w:t>
      </w:r>
      <w:r w:rsidR="009A6776">
        <w:rPr>
          <w:rFonts w:ascii="Tahoma" w:hAnsi="Tahoma" w:cs="Tahoma"/>
          <w:sz w:val="24"/>
          <w:szCs w:val="24"/>
        </w:rPr>
        <w:t xml:space="preserve">herramientas para evaluar y, con ello fortalecer, </w:t>
      </w:r>
      <w:r w:rsidR="009A6776" w:rsidRPr="00401FB2">
        <w:rPr>
          <w:rFonts w:ascii="Tahoma" w:hAnsi="Tahoma" w:cs="Tahoma"/>
          <w:sz w:val="24"/>
          <w:szCs w:val="24"/>
        </w:rPr>
        <w:t>los cuerpos policiales</w:t>
      </w:r>
      <w:r w:rsidR="005D03E3">
        <w:rPr>
          <w:rFonts w:ascii="Tahoma" w:hAnsi="Tahoma" w:cs="Tahoma"/>
          <w:sz w:val="24"/>
          <w:szCs w:val="24"/>
        </w:rPr>
        <w:t xml:space="preserve">, en virtud de que se advierte el interés público de conocer que aquellas personas que ingresa, permanecen y obtienen promociones dentro de las instituciones públicas </w:t>
      </w:r>
      <w:r w:rsidR="00C803C7">
        <w:rPr>
          <w:rFonts w:ascii="Tahoma" w:hAnsi="Tahoma" w:cs="Tahoma"/>
          <w:sz w:val="24"/>
          <w:szCs w:val="24"/>
        </w:rPr>
        <w:t>vinculadas con seguridad pública en</w:t>
      </w:r>
      <w:r w:rsidR="005D03E3">
        <w:rPr>
          <w:rFonts w:ascii="Tahoma" w:hAnsi="Tahoma" w:cs="Tahoma"/>
          <w:sz w:val="24"/>
          <w:szCs w:val="24"/>
        </w:rPr>
        <w:t xml:space="preserve"> la Entidad, han aprobado de manera satisfactoria con las evaluaciones de control de confianza</w:t>
      </w:r>
      <w:r w:rsidR="00C803C7">
        <w:rPr>
          <w:rFonts w:ascii="Tahoma" w:hAnsi="Tahoma" w:cs="Tahoma"/>
          <w:sz w:val="24"/>
          <w:szCs w:val="24"/>
        </w:rPr>
        <w:t xml:space="preserve"> y por ende, obtuvieron la certificación correspondiente</w:t>
      </w:r>
      <w:r w:rsidR="005D03E3">
        <w:rPr>
          <w:rFonts w:ascii="Tahoma" w:hAnsi="Tahoma" w:cs="Tahoma"/>
          <w:sz w:val="24"/>
          <w:szCs w:val="24"/>
        </w:rPr>
        <w:t>.</w:t>
      </w:r>
    </w:p>
    <w:p w:rsidR="006A00E3" w:rsidRPr="00636A03" w:rsidRDefault="006A00E3" w:rsidP="00E03FEB">
      <w:pPr>
        <w:spacing w:after="0" w:line="276" w:lineRule="auto"/>
        <w:jc w:val="both"/>
        <w:rPr>
          <w:rFonts w:ascii="Tahoma" w:hAnsi="Tahoma" w:cs="Tahoma"/>
          <w:sz w:val="24"/>
          <w:szCs w:val="24"/>
        </w:rPr>
      </w:pPr>
    </w:p>
    <w:p w:rsidR="009A6776"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009A6776">
        <w:rPr>
          <w:rFonts w:ascii="Tahoma" w:hAnsi="Tahoma" w:cs="Tahoma"/>
          <w:sz w:val="24"/>
          <w:szCs w:val="24"/>
        </w:rPr>
        <w:t>considero que conocer el resultado de la evaluación de control de confianza permite a la ciudadanía observar el grado de cumplimiento que las Instituciones de Seguridad Pública dan a la Ley, pues según lo analizado, ni</w:t>
      </w:r>
      <w:r w:rsidR="0094577A">
        <w:rPr>
          <w:rFonts w:ascii="Tahoma" w:hAnsi="Tahoma" w:cs="Tahoma"/>
          <w:sz w:val="24"/>
          <w:szCs w:val="24"/>
        </w:rPr>
        <w:t>nguna</w:t>
      </w:r>
      <w:r w:rsidR="009A6776">
        <w:rPr>
          <w:rFonts w:ascii="Tahoma" w:hAnsi="Tahoma" w:cs="Tahoma"/>
          <w:sz w:val="24"/>
          <w:szCs w:val="24"/>
        </w:rPr>
        <w:t xml:space="preserve"> persona puede ingresar o permanecer sin acreditar la evaluación de control de confianza, y generar un debate informado sobre las áreas de oportunidad en materia de seguridad pública.</w:t>
      </w:r>
    </w:p>
    <w:p w:rsidR="0094577A" w:rsidRDefault="0094577A" w:rsidP="00032450">
      <w:pPr>
        <w:spacing w:after="0" w:line="276" w:lineRule="auto"/>
        <w:jc w:val="both"/>
        <w:rPr>
          <w:rFonts w:ascii="Tahoma" w:hAnsi="Tahoma" w:cs="Tahoma"/>
          <w:sz w:val="24"/>
          <w:szCs w:val="24"/>
        </w:rPr>
      </w:pPr>
    </w:p>
    <w:p w:rsidR="00553ADE" w:rsidRPr="001106EA" w:rsidRDefault="009A6776" w:rsidP="00032450">
      <w:pPr>
        <w:spacing w:after="0" w:line="276" w:lineRule="auto"/>
        <w:jc w:val="both"/>
        <w:rPr>
          <w:rFonts w:ascii="Tahoma" w:hAnsi="Tahoma" w:cs="Tahoma"/>
          <w:sz w:val="24"/>
          <w:szCs w:val="24"/>
        </w:rPr>
      </w:pPr>
      <w:r>
        <w:rPr>
          <w:rFonts w:ascii="Tahoma" w:hAnsi="Tahoma" w:cs="Tahoma"/>
          <w:sz w:val="24"/>
          <w:szCs w:val="24"/>
        </w:rPr>
        <w:t xml:space="preserve">Por tanto, al considerar que lo requerido por el solicitante es información </w:t>
      </w:r>
      <w:r w:rsidR="008C4A37">
        <w:rPr>
          <w:rFonts w:ascii="Tahoma" w:hAnsi="Tahoma" w:cs="Tahoma"/>
          <w:sz w:val="24"/>
          <w:szCs w:val="24"/>
        </w:rPr>
        <w:t>de naturaleza pública</w:t>
      </w:r>
      <w:r>
        <w:rPr>
          <w:rFonts w:ascii="Tahoma" w:hAnsi="Tahoma" w:cs="Tahoma"/>
          <w:sz w:val="24"/>
          <w:szCs w:val="24"/>
        </w:rPr>
        <w:t xml:space="preserve">, </w:t>
      </w:r>
      <w:r w:rsidR="00553ADE" w:rsidRPr="001106EA">
        <w:rPr>
          <w:rFonts w:ascii="Tahoma" w:hAnsi="Tahoma" w:cs="Tahoma"/>
          <w:b/>
          <w:sz w:val="24"/>
          <w:szCs w:val="24"/>
        </w:rPr>
        <w:t xml:space="preserve">se emite el presente </w:t>
      </w:r>
      <w:r w:rsidR="00FF22F6" w:rsidRPr="001106EA">
        <w:rPr>
          <w:rFonts w:ascii="Tahoma" w:hAnsi="Tahoma" w:cs="Tahoma"/>
          <w:b/>
          <w:sz w:val="24"/>
          <w:szCs w:val="24"/>
        </w:rPr>
        <w:t>V</w:t>
      </w:r>
      <w:r w:rsidR="00553ADE" w:rsidRPr="001106EA">
        <w:rPr>
          <w:rFonts w:ascii="Tahoma" w:hAnsi="Tahoma" w:cs="Tahoma"/>
          <w:b/>
          <w:sz w:val="24"/>
          <w:szCs w:val="24"/>
        </w:rPr>
        <w:t xml:space="preserve">oto </w:t>
      </w:r>
      <w:r w:rsidR="00666F32">
        <w:rPr>
          <w:rFonts w:ascii="Tahoma" w:hAnsi="Tahoma" w:cs="Tahoma"/>
          <w:b/>
          <w:sz w:val="24"/>
          <w:szCs w:val="24"/>
        </w:rPr>
        <w:t>Disidente</w:t>
      </w:r>
      <w:r w:rsidR="00553ADE"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25784F">
      <w:pPr>
        <w:spacing w:after="0" w:line="276" w:lineRule="auto"/>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bookmarkStart w:id="2" w:name="_GoBack"/>
      <w:r w:rsidRPr="001106EA">
        <w:rPr>
          <w:rFonts w:ascii="Tahoma" w:hAnsi="Tahoma" w:cs="Tahoma"/>
          <w:b/>
          <w:sz w:val="24"/>
          <w:szCs w:val="24"/>
        </w:rPr>
        <w:t>(Rúbrica)</w:t>
      </w:r>
    </w:p>
    <w:bookmarkEnd w:id="2"/>
    <w:p w:rsidR="00553ADE" w:rsidRDefault="00553ADE" w:rsidP="00032450">
      <w:pPr>
        <w:spacing w:after="0" w:line="276" w:lineRule="auto"/>
        <w:jc w:val="both"/>
        <w:rPr>
          <w:rFonts w:ascii="Tahoma" w:hAnsi="Tahoma" w:cs="Tahoma"/>
          <w:sz w:val="24"/>
          <w:szCs w:val="24"/>
        </w:rPr>
      </w:pPr>
    </w:p>
    <w:p w:rsidR="00675261" w:rsidRPr="001106EA" w:rsidRDefault="00675261"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553ADE" w:rsidRDefault="00553ADE" w:rsidP="00032450">
      <w:pPr>
        <w:spacing w:after="0" w:line="276" w:lineRule="auto"/>
        <w:jc w:val="center"/>
        <w:rPr>
          <w:rFonts w:ascii="Tahoma" w:hAnsi="Tahoma" w:cs="Tahoma"/>
          <w:sz w:val="24"/>
          <w:szCs w:val="24"/>
        </w:rPr>
      </w:pPr>
      <w:r w:rsidRPr="001106EA">
        <w:rPr>
          <w:rFonts w:ascii="Tahoma" w:hAnsi="Tahoma" w:cs="Tahoma"/>
          <w:sz w:val="24"/>
          <w:szCs w:val="24"/>
        </w:rPr>
        <w:t>Comisionado</w:t>
      </w:r>
    </w:p>
    <w:sectPr w:rsidR="00553ADE"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7F5" w:rsidRDefault="00A777F5" w:rsidP="00EE29F6">
      <w:pPr>
        <w:spacing w:after="0" w:line="240" w:lineRule="auto"/>
      </w:pPr>
      <w:r>
        <w:separator/>
      </w:r>
    </w:p>
  </w:endnote>
  <w:endnote w:type="continuationSeparator" w:id="0">
    <w:p w:rsidR="00A777F5" w:rsidRDefault="00A777F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3E464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2474F">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2474F">
              <w:rPr>
                <w:b/>
                <w:bCs/>
                <w:noProof/>
              </w:rPr>
              <w:t>6</w:t>
            </w:r>
            <w:r>
              <w:rPr>
                <w:b/>
                <w:bCs/>
                <w:sz w:val="24"/>
                <w:szCs w:val="24"/>
              </w:rPr>
              <w:fldChar w:fldCharType="end"/>
            </w:r>
          </w:p>
        </w:sdtContent>
      </w:sdt>
    </w:sdtContent>
  </w:sdt>
  <w:p w:rsidR="007C4D31" w:rsidRDefault="007C4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7F5" w:rsidRDefault="00A777F5" w:rsidP="00EE29F6">
      <w:pPr>
        <w:spacing w:after="0" w:line="240" w:lineRule="auto"/>
      </w:pPr>
      <w:r>
        <w:separator/>
      </w:r>
    </w:p>
  </w:footnote>
  <w:footnote w:type="continuationSeparator" w:id="0">
    <w:p w:rsidR="00A777F5" w:rsidRDefault="00A777F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 xml:space="preserve">Voto </w:t>
          </w:r>
          <w:r w:rsidR="006E25D2">
            <w:rPr>
              <w:rFonts w:ascii="Tahoma" w:hAnsi="Tahoma" w:cs="Tahoma"/>
              <w:b/>
            </w:rPr>
            <w:t>Disidente</w:t>
          </w:r>
        </w:p>
        <w:p w:rsidR="0077694E" w:rsidRDefault="001106EA" w:rsidP="00DA489A">
          <w:pPr>
            <w:pStyle w:val="Encabezado"/>
            <w:ind w:left="-108" w:right="-250"/>
            <w:jc w:val="both"/>
            <w:rPr>
              <w:rFonts w:ascii="Tahoma" w:hAnsi="Tahoma" w:cs="Tahoma"/>
              <w:b/>
            </w:rPr>
          </w:pPr>
          <w:r w:rsidRPr="001106EA">
            <w:rPr>
              <w:rFonts w:ascii="Tahoma" w:hAnsi="Tahoma" w:cs="Tahoma"/>
              <w:b/>
            </w:rPr>
            <w:t xml:space="preserve">Recurso de Revisión: </w:t>
          </w:r>
          <w:r w:rsidR="000F4A5F">
            <w:rPr>
              <w:rFonts w:ascii="Tahoma" w:hAnsi="Tahoma" w:cs="Tahoma"/>
              <w:b/>
            </w:rPr>
            <w:t>029</w:t>
          </w:r>
          <w:r w:rsidR="006E25D2">
            <w:rPr>
              <w:rFonts w:ascii="Tahoma" w:hAnsi="Tahoma" w:cs="Tahoma"/>
              <w:b/>
            </w:rPr>
            <w:t>55</w:t>
          </w:r>
          <w:r w:rsidRPr="001106EA">
            <w:rPr>
              <w:rFonts w:ascii="Tahoma" w:hAnsi="Tahoma" w:cs="Tahoma"/>
              <w:b/>
            </w:rPr>
            <w:t>/INFOEM/IP/RR/2018</w:t>
          </w:r>
        </w:p>
        <w:p w:rsidR="00D17F1D" w:rsidRPr="001106EA" w:rsidRDefault="00D17F1D" w:rsidP="00DA489A">
          <w:pPr>
            <w:pStyle w:val="Encabezado"/>
            <w:ind w:left="-108" w:right="-250"/>
            <w:jc w:val="both"/>
            <w:rPr>
              <w:rFonts w:ascii="Tahoma" w:hAnsi="Tahoma" w:cs="Tahoma"/>
            </w:rPr>
          </w:pPr>
          <w:r>
            <w:rPr>
              <w:rFonts w:ascii="Tahoma" w:hAnsi="Tahoma" w:cs="Tahoma"/>
              <w:b/>
            </w:rPr>
            <w:t xml:space="preserve">Comisionado Ponente: Zulema Martínez Sánchez  </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27C8E"/>
    <w:multiLevelType w:val="hybridMultilevel"/>
    <w:tmpl w:val="D876B65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4B3903CC"/>
    <w:multiLevelType w:val="hybridMultilevel"/>
    <w:tmpl w:val="A92C92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11"/>
  </w:num>
  <w:num w:numId="6">
    <w:abstractNumId w:val="3"/>
  </w:num>
  <w:num w:numId="7">
    <w:abstractNumId w:val="7"/>
  </w:num>
  <w:num w:numId="8">
    <w:abstractNumId w:val="14"/>
  </w:num>
  <w:num w:numId="9">
    <w:abstractNumId w:val="12"/>
  </w:num>
  <w:num w:numId="10">
    <w:abstractNumId w:val="13"/>
  </w:num>
  <w:num w:numId="11">
    <w:abstractNumId w:val="6"/>
  </w:num>
  <w:num w:numId="12">
    <w:abstractNumId w:val="9"/>
  </w:num>
  <w:num w:numId="13">
    <w:abstractNumId w:val="15"/>
  </w:num>
  <w:num w:numId="14">
    <w:abstractNumId w:val="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3997"/>
    <w:rsid w:val="00020D08"/>
    <w:rsid w:val="000301C6"/>
    <w:rsid w:val="00032450"/>
    <w:rsid w:val="00042F51"/>
    <w:rsid w:val="00060F74"/>
    <w:rsid w:val="0006561A"/>
    <w:rsid w:val="000678C1"/>
    <w:rsid w:val="00087AC8"/>
    <w:rsid w:val="000A5FDA"/>
    <w:rsid w:val="000B235B"/>
    <w:rsid w:val="000B264F"/>
    <w:rsid w:val="000B7F6F"/>
    <w:rsid w:val="000C10B7"/>
    <w:rsid w:val="000D186F"/>
    <w:rsid w:val="000F376C"/>
    <w:rsid w:val="000F4A5F"/>
    <w:rsid w:val="00104A75"/>
    <w:rsid w:val="001106EA"/>
    <w:rsid w:val="001159DC"/>
    <w:rsid w:val="00116E1A"/>
    <w:rsid w:val="00133FD6"/>
    <w:rsid w:val="00136AD8"/>
    <w:rsid w:val="001372F3"/>
    <w:rsid w:val="00140A57"/>
    <w:rsid w:val="0014736A"/>
    <w:rsid w:val="00162325"/>
    <w:rsid w:val="0018472D"/>
    <w:rsid w:val="00193AA8"/>
    <w:rsid w:val="00196AE8"/>
    <w:rsid w:val="001A145C"/>
    <w:rsid w:val="001C1C64"/>
    <w:rsid w:val="001D6868"/>
    <w:rsid w:val="0021503B"/>
    <w:rsid w:val="0022474F"/>
    <w:rsid w:val="00231B68"/>
    <w:rsid w:val="002329E7"/>
    <w:rsid w:val="00243A13"/>
    <w:rsid w:val="0025784F"/>
    <w:rsid w:val="00260698"/>
    <w:rsid w:val="002800B4"/>
    <w:rsid w:val="0028037C"/>
    <w:rsid w:val="00281E80"/>
    <w:rsid w:val="00290102"/>
    <w:rsid w:val="002A1727"/>
    <w:rsid w:val="002A2EE7"/>
    <w:rsid w:val="002A43F0"/>
    <w:rsid w:val="002C2405"/>
    <w:rsid w:val="002E5A1A"/>
    <w:rsid w:val="003074A8"/>
    <w:rsid w:val="003512C9"/>
    <w:rsid w:val="00390C93"/>
    <w:rsid w:val="003B6547"/>
    <w:rsid w:val="003B7A5E"/>
    <w:rsid w:val="003E21C9"/>
    <w:rsid w:val="003E4648"/>
    <w:rsid w:val="003F2426"/>
    <w:rsid w:val="003F3649"/>
    <w:rsid w:val="003F7E57"/>
    <w:rsid w:val="0040139C"/>
    <w:rsid w:val="00401FB2"/>
    <w:rsid w:val="0042114D"/>
    <w:rsid w:val="004211BB"/>
    <w:rsid w:val="00433746"/>
    <w:rsid w:val="00434AB3"/>
    <w:rsid w:val="00434C88"/>
    <w:rsid w:val="00435E69"/>
    <w:rsid w:val="00442534"/>
    <w:rsid w:val="00445BDF"/>
    <w:rsid w:val="00446D89"/>
    <w:rsid w:val="00473EB5"/>
    <w:rsid w:val="00477A23"/>
    <w:rsid w:val="00486C18"/>
    <w:rsid w:val="00490F50"/>
    <w:rsid w:val="004A4555"/>
    <w:rsid w:val="004B541F"/>
    <w:rsid w:val="004C3636"/>
    <w:rsid w:val="004C4912"/>
    <w:rsid w:val="004E7007"/>
    <w:rsid w:val="004F1B7F"/>
    <w:rsid w:val="00500174"/>
    <w:rsid w:val="00524DA5"/>
    <w:rsid w:val="005419D8"/>
    <w:rsid w:val="00544812"/>
    <w:rsid w:val="00553ADE"/>
    <w:rsid w:val="0056120D"/>
    <w:rsid w:val="00580F64"/>
    <w:rsid w:val="00582CCB"/>
    <w:rsid w:val="00584D73"/>
    <w:rsid w:val="00590C71"/>
    <w:rsid w:val="0059329D"/>
    <w:rsid w:val="005A2510"/>
    <w:rsid w:val="005B3F7C"/>
    <w:rsid w:val="005C094E"/>
    <w:rsid w:val="005C27BE"/>
    <w:rsid w:val="005C73EE"/>
    <w:rsid w:val="005D03E3"/>
    <w:rsid w:val="005D11C8"/>
    <w:rsid w:val="005E2798"/>
    <w:rsid w:val="005E3707"/>
    <w:rsid w:val="006016F9"/>
    <w:rsid w:val="00605683"/>
    <w:rsid w:val="00610A16"/>
    <w:rsid w:val="006248F2"/>
    <w:rsid w:val="00636A03"/>
    <w:rsid w:val="00636FD3"/>
    <w:rsid w:val="00645087"/>
    <w:rsid w:val="00652B5D"/>
    <w:rsid w:val="00654ACD"/>
    <w:rsid w:val="00666F32"/>
    <w:rsid w:val="00675261"/>
    <w:rsid w:val="00680A51"/>
    <w:rsid w:val="00682003"/>
    <w:rsid w:val="00684B16"/>
    <w:rsid w:val="0069724B"/>
    <w:rsid w:val="006A00E3"/>
    <w:rsid w:val="006C3AF3"/>
    <w:rsid w:val="006E25D2"/>
    <w:rsid w:val="006F5316"/>
    <w:rsid w:val="007215D5"/>
    <w:rsid w:val="00724F08"/>
    <w:rsid w:val="007378E2"/>
    <w:rsid w:val="00742770"/>
    <w:rsid w:val="00742A15"/>
    <w:rsid w:val="0075161F"/>
    <w:rsid w:val="007633CC"/>
    <w:rsid w:val="0077694E"/>
    <w:rsid w:val="007936B3"/>
    <w:rsid w:val="007A2D13"/>
    <w:rsid w:val="007C4D31"/>
    <w:rsid w:val="007D3257"/>
    <w:rsid w:val="007D3A17"/>
    <w:rsid w:val="007D50AD"/>
    <w:rsid w:val="007F1C1D"/>
    <w:rsid w:val="007F7D80"/>
    <w:rsid w:val="00812D15"/>
    <w:rsid w:val="00814B57"/>
    <w:rsid w:val="008164A9"/>
    <w:rsid w:val="00836BC2"/>
    <w:rsid w:val="00861757"/>
    <w:rsid w:val="00872784"/>
    <w:rsid w:val="00894656"/>
    <w:rsid w:val="00896C2A"/>
    <w:rsid w:val="008A3DA9"/>
    <w:rsid w:val="008B08C9"/>
    <w:rsid w:val="008C4A37"/>
    <w:rsid w:val="008D0617"/>
    <w:rsid w:val="00922B2E"/>
    <w:rsid w:val="00927BD1"/>
    <w:rsid w:val="00937BDC"/>
    <w:rsid w:val="0094577A"/>
    <w:rsid w:val="00950355"/>
    <w:rsid w:val="00974836"/>
    <w:rsid w:val="00982082"/>
    <w:rsid w:val="009943E1"/>
    <w:rsid w:val="009A6776"/>
    <w:rsid w:val="009B2C0B"/>
    <w:rsid w:val="009D07E2"/>
    <w:rsid w:val="009D49BE"/>
    <w:rsid w:val="009E41F7"/>
    <w:rsid w:val="009E6180"/>
    <w:rsid w:val="009F4E9E"/>
    <w:rsid w:val="00A364BA"/>
    <w:rsid w:val="00A45560"/>
    <w:rsid w:val="00A5061A"/>
    <w:rsid w:val="00A76ED9"/>
    <w:rsid w:val="00A777F5"/>
    <w:rsid w:val="00A87924"/>
    <w:rsid w:val="00AA090B"/>
    <w:rsid w:val="00AC4286"/>
    <w:rsid w:val="00AF3B6B"/>
    <w:rsid w:val="00B0531B"/>
    <w:rsid w:val="00B263C5"/>
    <w:rsid w:val="00B4397D"/>
    <w:rsid w:val="00B53AE9"/>
    <w:rsid w:val="00B61CDD"/>
    <w:rsid w:val="00B67355"/>
    <w:rsid w:val="00B7393F"/>
    <w:rsid w:val="00B761B1"/>
    <w:rsid w:val="00BB6EE3"/>
    <w:rsid w:val="00BC4882"/>
    <w:rsid w:val="00BD4705"/>
    <w:rsid w:val="00BD5DBE"/>
    <w:rsid w:val="00BE7887"/>
    <w:rsid w:val="00C130ED"/>
    <w:rsid w:val="00C215BB"/>
    <w:rsid w:val="00C30FD6"/>
    <w:rsid w:val="00C55FFC"/>
    <w:rsid w:val="00C6415C"/>
    <w:rsid w:val="00C75CE0"/>
    <w:rsid w:val="00C803C7"/>
    <w:rsid w:val="00CA050D"/>
    <w:rsid w:val="00CA7627"/>
    <w:rsid w:val="00CD0700"/>
    <w:rsid w:val="00CE50F9"/>
    <w:rsid w:val="00CF0CED"/>
    <w:rsid w:val="00D05740"/>
    <w:rsid w:val="00D13875"/>
    <w:rsid w:val="00D160F2"/>
    <w:rsid w:val="00D162DB"/>
    <w:rsid w:val="00D17F1D"/>
    <w:rsid w:val="00D51426"/>
    <w:rsid w:val="00D55429"/>
    <w:rsid w:val="00D65D0C"/>
    <w:rsid w:val="00D666D4"/>
    <w:rsid w:val="00D7239D"/>
    <w:rsid w:val="00D75FAE"/>
    <w:rsid w:val="00D77F63"/>
    <w:rsid w:val="00D9114A"/>
    <w:rsid w:val="00DA11C0"/>
    <w:rsid w:val="00DA291F"/>
    <w:rsid w:val="00DA489A"/>
    <w:rsid w:val="00DA48B8"/>
    <w:rsid w:val="00DB7EDD"/>
    <w:rsid w:val="00DF2F51"/>
    <w:rsid w:val="00DF45D1"/>
    <w:rsid w:val="00E03FEB"/>
    <w:rsid w:val="00E145E1"/>
    <w:rsid w:val="00E26123"/>
    <w:rsid w:val="00E26864"/>
    <w:rsid w:val="00E34559"/>
    <w:rsid w:val="00E41481"/>
    <w:rsid w:val="00E416F8"/>
    <w:rsid w:val="00E541D3"/>
    <w:rsid w:val="00E6045A"/>
    <w:rsid w:val="00E82F77"/>
    <w:rsid w:val="00E83683"/>
    <w:rsid w:val="00EB7128"/>
    <w:rsid w:val="00EE29F6"/>
    <w:rsid w:val="00EF135E"/>
    <w:rsid w:val="00F00B15"/>
    <w:rsid w:val="00F11F0A"/>
    <w:rsid w:val="00F14384"/>
    <w:rsid w:val="00F178D6"/>
    <w:rsid w:val="00F301F8"/>
    <w:rsid w:val="00F55D5D"/>
    <w:rsid w:val="00F63637"/>
    <w:rsid w:val="00F657B2"/>
    <w:rsid w:val="00FB3044"/>
    <w:rsid w:val="00FC1D9D"/>
    <w:rsid w:val="00FD1849"/>
    <w:rsid w:val="00FD3150"/>
    <w:rsid w:val="00FD41A3"/>
    <w:rsid w:val="00FD530D"/>
    <w:rsid w:val="00FE3C2C"/>
    <w:rsid w:val="00FF22F6"/>
    <w:rsid w:val="00FF3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paragraph" w:styleId="Sinespaciado">
    <w:name w:val="No Spacing"/>
    <w:aliases w:val="Francesa"/>
    <w:uiPriority w:val="1"/>
    <w:qFormat/>
    <w:rsid w:val="00E03FEB"/>
    <w:pPr>
      <w:spacing w:after="0" w:line="240" w:lineRule="auto"/>
    </w:pPr>
    <w:rPr>
      <w:lang w:val="es-MX"/>
    </w:rPr>
  </w:style>
  <w:style w:type="character" w:customStyle="1" w:styleId="UnresolvedMention">
    <w:name w:val="Unresolved Mention"/>
    <w:basedOn w:val="Fuentedeprrafopredeter"/>
    <w:uiPriority w:val="99"/>
    <w:semiHidden/>
    <w:unhideWhenUsed/>
    <w:rsid w:val="00196AE8"/>
    <w:rPr>
      <w:color w:val="605E5C"/>
      <w:shd w:val="clear" w:color="auto" w:fill="E1DFDD"/>
    </w:rPr>
  </w:style>
  <w:style w:type="character" w:styleId="Hipervnculovisitado">
    <w:name w:val="FollowedHyperlink"/>
    <w:basedOn w:val="Fuentedeprrafopredeter"/>
    <w:uiPriority w:val="99"/>
    <w:semiHidden/>
    <w:unhideWhenUsed/>
    <w:rsid w:val="00C21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847">
      <w:bodyDiv w:val="1"/>
      <w:marLeft w:val="0"/>
      <w:marRight w:val="0"/>
      <w:marTop w:val="0"/>
      <w:marBottom w:val="0"/>
      <w:divBdr>
        <w:top w:val="none" w:sz="0" w:space="0" w:color="auto"/>
        <w:left w:val="none" w:sz="0" w:space="0" w:color="auto"/>
        <w:bottom w:val="none" w:sz="0" w:space="0" w:color="auto"/>
        <w:right w:val="none" w:sz="0" w:space="0" w:color="auto"/>
      </w:divBdr>
    </w:div>
    <w:div w:id="73750359">
      <w:bodyDiv w:val="1"/>
      <w:marLeft w:val="0"/>
      <w:marRight w:val="0"/>
      <w:marTop w:val="0"/>
      <w:marBottom w:val="0"/>
      <w:divBdr>
        <w:top w:val="none" w:sz="0" w:space="0" w:color="auto"/>
        <w:left w:val="none" w:sz="0" w:space="0" w:color="auto"/>
        <w:bottom w:val="none" w:sz="0" w:space="0" w:color="auto"/>
        <w:right w:val="none" w:sz="0" w:space="0" w:color="auto"/>
      </w:divBdr>
    </w:div>
    <w:div w:id="452793008">
      <w:bodyDiv w:val="1"/>
      <w:marLeft w:val="0"/>
      <w:marRight w:val="0"/>
      <w:marTop w:val="0"/>
      <w:marBottom w:val="0"/>
      <w:divBdr>
        <w:top w:val="none" w:sz="0" w:space="0" w:color="auto"/>
        <w:left w:val="none" w:sz="0" w:space="0" w:color="auto"/>
        <w:bottom w:val="none" w:sz="0" w:space="0" w:color="auto"/>
        <w:right w:val="none" w:sz="0" w:space="0" w:color="auto"/>
      </w:divBdr>
    </w:div>
    <w:div w:id="678125049">
      <w:bodyDiv w:val="1"/>
      <w:marLeft w:val="0"/>
      <w:marRight w:val="0"/>
      <w:marTop w:val="0"/>
      <w:marBottom w:val="0"/>
      <w:divBdr>
        <w:top w:val="none" w:sz="0" w:space="0" w:color="auto"/>
        <w:left w:val="none" w:sz="0" w:space="0" w:color="auto"/>
        <w:bottom w:val="none" w:sz="0" w:space="0" w:color="auto"/>
        <w:right w:val="none" w:sz="0" w:space="0" w:color="auto"/>
      </w:divBdr>
    </w:div>
    <w:div w:id="731272007">
      <w:bodyDiv w:val="1"/>
      <w:marLeft w:val="0"/>
      <w:marRight w:val="0"/>
      <w:marTop w:val="0"/>
      <w:marBottom w:val="0"/>
      <w:divBdr>
        <w:top w:val="none" w:sz="0" w:space="0" w:color="auto"/>
        <w:left w:val="none" w:sz="0" w:space="0" w:color="auto"/>
        <w:bottom w:val="none" w:sz="0" w:space="0" w:color="auto"/>
        <w:right w:val="none" w:sz="0" w:space="0" w:color="auto"/>
      </w:divBdr>
    </w:div>
    <w:div w:id="15003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076624&amp;fecha=31/12/2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536C-5FD5-4DB4-B8F6-3E0938B9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8</cp:revision>
  <cp:lastPrinted>2018-10-16T18:00:00Z</cp:lastPrinted>
  <dcterms:created xsi:type="dcterms:W3CDTF">2018-10-15T16:18:00Z</dcterms:created>
  <dcterms:modified xsi:type="dcterms:W3CDTF">2018-10-16T18:00:00Z</dcterms:modified>
</cp:coreProperties>
</file>